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40"/>
        <w:gridCol w:w="1440"/>
        <w:gridCol w:w="900"/>
        <w:gridCol w:w="720"/>
      </w:tblGrid>
      <w:tr w:rsidR="008D66F0">
        <w:trPr>
          <w:cantSplit/>
          <w:tblHeader/>
        </w:trPr>
        <w:tc>
          <w:tcPr>
            <w:tcW w:w="1440" w:type="dxa"/>
          </w:tcPr>
          <w:p w:rsidR="008D66F0" w:rsidRDefault="008D66F0">
            <w:pPr>
              <w:rPr>
                <w:sz w:val="18"/>
              </w:rPr>
            </w:pPr>
            <w:r>
              <w:rPr>
                <w:sz w:val="18"/>
              </w:rPr>
              <w:t>Celex:</w:t>
            </w:r>
          </w:p>
        </w:tc>
        <w:tc>
          <w:tcPr>
            <w:tcW w:w="1440" w:type="dxa"/>
            <w:tcBorders>
              <w:top w:val="single" w:sz="4" w:space="0" w:color="auto"/>
            </w:tcBorders>
          </w:tcPr>
          <w:p w:rsidR="008D66F0" w:rsidRDefault="00EC15A1">
            <w:pPr>
              <w:rPr>
                <w:b/>
                <w:sz w:val="18"/>
              </w:rPr>
            </w:pPr>
            <w:r>
              <w:rPr>
                <w:b/>
                <w:sz w:val="18"/>
              </w:rPr>
              <w:t>32011R0282</w:t>
            </w:r>
          </w:p>
        </w:tc>
        <w:tc>
          <w:tcPr>
            <w:tcW w:w="2160" w:type="dxa"/>
            <w:tcBorders>
              <w:top w:val="single" w:sz="4" w:space="0" w:color="auto"/>
            </w:tcBorders>
          </w:tcPr>
          <w:p w:rsidR="008D66F0" w:rsidRDefault="008D66F0" w:rsidP="00EC15A1">
            <w:pPr>
              <w:rPr>
                <w:bCs/>
                <w:sz w:val="18"/>
              </w:rPr>
            </w:pPr>
            <w:r>
              <w:rPr>
                <w:sz w:val="18"/>
              </w:rPr>
              <w:t>Lhůta pro implementaci</w:t>
            </w:r>
            <w:r w:rsidR="00EC15A1">
              <w:rPr>
                <w:sz w:val="18"/>
              </w:rPr>
              <w:t xml:space="preserve"> </w:t>
            </w:r>
          </w:p>
        </w:tc>
        <w:tc>
          <w:tcPr>
            <w:tcW w:w="1260" w:type="dxa"/>
            <w:tcBorders>
              <w:top w:val="single" w:sz="4" w:space="0" w:color="auto"/>
            </w:tcBorders>
          </w:tcPr>
          <w:p w:rsidR="008D66F0" w:rsidRDefault="00EC15A1">
            <w:pPr>
              <w:rPr>
                <w:bCs/>
                <w:sz w:val="18"/>
              </w:rPr>
            </w:pPr>
            <w:r>
              <w:rPr>
                <w:sz w:val="18"/>
              </w:rPr>
              <w:t>1. 7. 2011</w:t>
            </w:r>
          </w:p>
        </w:tc>
        <w:tc>
          <w:tcPr>
            <w:tcW w:w="1440" w:type="dxa"/>
            <w:gridSpan w:val="2"/>
            <w:tcBorders>
              <w:top w:val="single" w:sz="4" w:space="0" w:color="auto"/>
            </w:tcBorders>
          </w:tcPr>
          <w:p w:rsidR="008D66F0" w:rsidRDefault="008D66F0">
            <w:pPr>
              <w:rPr>
                <w:sz w:val="18"/>
              </w:rPr>
            </w:pPr>
            <w:r>
              <w:rPr>
                <w:sz w:val="18"/>
              </w:rPr>
              <w:t xml:space="preserve">Úřední věstník                    </w:t>
            </w:r>
          </w:p>
        </w:tc>
        <w:tc>
          <w:tcPr>
            <w:tcW w:w="1080" w:type="dxa"/>
          </w:tcPr>
          <w:p w:rsidR="008D66F0" w:rsidRDefault="00EC15A1">
            <w:pPr>
              <w:rPr>
                <w:sz w:val="18"/>
              </w:rPr>
            </w:pPr>
            <w:r>
              <w:rPr>
                <w:sz w:val="18"/>
              </w:rPr>
              <w:t>L</w:t>
            </w:r>
            <w:r w:rsidR="00304E57">
              <w:rPr>
                <w:sz w:val="18"/>
              </w:rPr>
              <w:t xml:space="preserve"> 077</w:t>
            </w:r>
          </w:p>
        </w:tc>
        <w:tc>
          <w:tcPr>
            <w:tcW w:w="900" w:type="dxa"/>
          </w:tcPr>
          <w:p w:rsidR="008D66F0" w:rsidRDefault="008D66F0" w:rsidP="003B061A">
            <w:pPr>
              <w:jc w:val="both"/>
              <w:rPr>
                <w:sz w:val="18"/>
              </w:rPr>
            </w:pPr>
            <w:r>
              <w:rPr>
                <w:sz w:val="18"/>
              </w:rPr>
              <w:t>Gestor</w:t>
            </w:r>
          </w:p>
        </w:tc>
        <w:tc>
          <w:tcPr>
            <w:tcW w:w="720" w:type="dxa"/>
          </w:tcPr>
          <w:p w:rsidR="008D66F0" w:rsidRDefault="00EC15A1" w:rsidP="003B061A">
            <w:pPr>
              <w:jc w:val="both"/>
              <w:rPr>
                <w:sz w:val="18"/>
              </w:rPr>
            </w:pPr>
            <w:r>
              <w:rPr>
                <w:sz w:val="18"/>
              </w:rPr>
              <w:t>MF</w:t>
            </w:r>
          </w:p>
        </w:tc>
        <w:tc>
          <w:tcPr>
            <w:tcW w:w="2340" w:type="dxa"/>
          </w:tcPr>
          <w:p w:rsidR="008D66F0" w:rsidRDefault="008D66F0" w:rsidP="003B061A">
            <w:pPr>
              <w:jc w:val="both"/>
              <w:rPr>
                <w:sz w:val="18"/>
              </w:rPr>
            </w:pPr>
            <w:r>
              <w:rPr>
                <w:sz w:val="18"/>
              </w:rPr>
              <w:t>Zpracoval (jméno+datum):</w:t>
            </w:r>
          </w:p>
        </w:tc>
        <w:tc>
          <w:tcPr>
            <w:tcW w:w="3060" w:type="dxa"/>
            <w:gridSpan w:val="3"/>
          </w:tcPr>
          <w:p w:rsidR="008D66F0" w:rsidRDefault="00B3098C" w:rsidP="005C57D7">
            <w:pPr>
              <w:jc w:val="both"/>
              <w:rPr>
                <w:sz w:val="18"/>
              </w:rPr>
            </w:pPr>
            <w:r>
              <w:rPr>
                <w:sz w:val="18"/>
              </w:rPr>
              <w:t xml:space="preserve">Veronika Binarová, </w:t>
            </w:r>
            <w:r w:rsidR="005C57D7">
              <w:rPr>
                <w:sz w:val="18"/>
              </w:rPr>
              <w:t>1</w:t>
            </w:r>
            <w:r w:rsidR="004335BF" w:rsidRPr="004335BF">
              <w:rPr>
                <w:sz w:val="18"/>
              </w:rPr>
              <w:t>.</w:t>
            </w:r>
            <w:r w:rsidR="005C57D7">
              <w:rPr>
                <w:sz w:val="18"/>
              </w:rPr>
              <w:t xml:space="preserve"> 2</w:t>
            </w:r>
            <w:r w:rsidR="004335BF" w:rsidRPr="004335BF">
              <w:rPr>
                <w:sz w:val="18"/>
              </w:rPr>
              <w:t>.</w:t>
            </w:r>
            <w:r w:rsidR="005C57D7">
              <w:rPr>
                <w:sz w:val="18"/>
              </w:rPr>
              <w:t xml:space="preserve"> </w:t>
            </w:r>
            <w:r w:rsidR="004335BF" w:rsidRPr="004335BF">
              <w:rPr>
                <w:sz w:val="18"/>
              </w:rPr>
              <w:t>202</w:t>
            </w:r>
            <w:r w:rsidR="005C57D7">
              <w:rPr>
                <w:sz w:val="18"/>
              </w:rPr>
              <w:t>4</w:t>
            </w:r>
          </w:p>
        </w:tc>
      </w:tr>
      <w:tr w:rsidR="008D66F0">
        <w:trPr>
          <w:cantSplit/>
          <w:tblHeader/>
        </w:trPr>
        <w:tc>
          <w:tcPr>
            <w:tcW w:w="1440" w:type="dxa"/>
          </w:tcPr>
          <w:p w:rsidR="008D66F0" w:rsidRDefault="008D66F0">
            <w:pPr>
              <w:rPr>
                <w:sz w:val="18"/>
              </w:rPr>
            </w:pPr>
            <w:r>
              <w:rPr>
                <w:sz w:val="18"/>
              </w:rPr>
              <w:t>Název:</w:t>
            </w:r>
          </w:p>
        </w:tc>
        <w:tc>
          <w:tcPr>
            <w:tcW w:w="9000" w:type="dxa"/>
            <w:gridSpan w:val="8"/>
          </w:tcPr>
          <w:p w:rsidR="008D66F0" w:rsidRPr="008A5002" w:rsidRDefault="008A5002" w:rsidP="003B061A">
            <w:pPr>
              <w:jc w:val="both"/>
              <w:rPr>
                <w:sz w:val="18"/>
              </w:rPr>
            </w:pPr>
            <w:r w:rsidRPr="008A5002">
              <w:rPr>
                <w:bCs/>
                <w:color w:val="444444"/>
                <w:sz w:val="18"/>
                <w:szCs w:val="18"/>
              </w:rPr>
              <w:t>Prováděcí nařízení Rady (EU) č. 282/2011 ze dne 15. března 2011</w:t>
            </w:r>
            <w:r>
              <w:rPr>
                <w:bCs/>
                <w:color w:val="444444"/>
                <w:sz w:val="18"/>
                <w:szCs w:val="18"/>
              </w:rPr>
              <w:t xml:space="preserve">, </w:t>
            </w:r>
            <w:r w:rsidRPr="008A5002">
              <w:rPr>
                <w:bCs/>
                <w:color w:val="444444"/>
                <w:sz w:val="18"/>
                <w:szCs w:val="18"/>
              </w:rPr>
              <w:t>kterým se stanoví prováděcí opatření ke směrnici 2006/112/ES o společném systému daně z přidané hodnoty</w:t>
            </w:r>
            <w:r>
              <w:rPr>
                <w:bCs/>
                <w:color w:val="444444"/>
                <w:sz w:val="18"/>
                <w:szCs w:val="18"/>
              </w:rPr>
              <w:t xml:space="preserve"> </w:t>
            </w:r>
            <w:r w:rsidRPr="008A5002">
              <w:rPr>
                <w:bCs/>
                <w:color w:val="444444"/>
                <w:sz w:val="18"/>
                <w:szCs w:val="18"/>
              </w:rPr>
              <w:t>(přepracování)</w:t>
            </w:r>
          </w:p>
        </w:tc>
        <w:tc>
          <w:tcPr>
            <w:tcW w:w="2340" w:type="dxa"/>
          </w:tcPr>
          <w:p w:rsidR="008D66F0" w:rsidRDefault="008D66F0" w:rsidP="003B061A">
            <w:pPr>
              <w:jc w:val="both"/>
              <w:rPr>
                <w:sz w:val="18"/>
              </w:rPr>
            </w:pPr>
            <w:r>
              <w:rPr>
                <w:sz w:val="18"/>
              </w:rPr>
              <w:t>Schválil    (jméno+datum):</w:t>
            </w:r>
          </w:p>
        </w:tc>
        <w:tc>
          <w:tcPr>
            <w:tcW w:w="3060" w:type="dxa"/>
            <w:gridSpan w:val="3"/>
          </w:tcPr>
          <w:p w:rsidR="008D66F0" w:rsidRDefault="00B3098C" w:rsidP="005C57D7">
            <w:pPr>
              <w:jc w:val="both"/>
              <w:rPr>
                <w:sz w:val="18"/>
              </w:rPr>
            </w:pPr>
            <w:r>
              <w:rPr>
                <w:sz w:val="18"/>
              </w:rPr>
              <w:t xml:space="preserve">Ondřej Fasora, </w:t>
            </w:r>
            <w:r w:rsidR="005C57D7">
              <w:rPr>
                <w:sz w:val="18"/>
              </w:rPr>
              <w:t>1</w:t>
            </w:r>
            <w:r w:rsidR="004335BF" w:rsidRPr="004335BF">
              <w:rPr>
                <w:sz w:val="18"/>
              </w:rPr>
              <w:t>.</w:t>
            </w:r>
            <w:r w:rsidR="005C57D7">
              <w:rPr>
                <w:sz w:val="18"/>
              </w:rPr>
              <w:t xml:space="preserve"> 2</w:t>
            </w:r>
            <w:r w:rsidR="004335BF" w:rsidRPr="004335BF">
              <w:rPr>
                <w:sz w:val="18"/>
              </w:rPr>
              <w:t>.</w:t>
            </w:r>
            <w:r w:rsidR="005C57D7">
              <w:rPr>
                <w:sz w:val="18"/>
              </w:rPr>
              <w:t xml:space="preserve"> </w:t>
            </w:r>
            <w:r w:rsidR="004335BF" w:rsidRPr="004335BF">
              <w:rPr>
                <w:sz w:val="18"/>
              </w:rPr>
              <w:t>202</w:t>
            </w:r>
            <w:r w:rsidR="005C57D7">
              <w:rPr>
                <w:sz w:val="18"/>
              </w:rPr>
              <w:t>4</w:t>
            </w:r>
          </w:p>
        </w:tc>
      </w:tr>
      <w:tr w:rsidR="008D66F0">
        <w:trPr>
          <w:cantSplit/>
          <w:tblHeader/>
        </w:trPr>
        <w:tc>
          <w:tcPr>
            <w:tcW w:w="6840" w:type="dxa"/>
            <w:gridSpan w:val="5"/>
            <w:tcBorders>
              <w:bottom w:val="single" w:sz="6" w:space="0" w:color="auto"/>
              <w:right w:val="single" w:sz="18" w:space="0" w:color="auto"/>
            </w:tcBorders>
            <w:shd w:val="clear" w:color="auto" w:fill="00FFFF"/>
          </w:tcPr>
          <w:p w:rsidR="008D66F0" w:rsidRDefault="008D66F0">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rsidR="008D66F0" w:rsidRDefault="008D66F0" w:rsidP="003B061A">
            <w:pPr>
              <w:jc w:val="both"/>
              <w:rPr>
                <w:sz w:val="16"/>
              </w:rPr>
            </w:pPr>
            <w:r>
              <w:rPr>
                <w:sz w:val="16"/>
              </w:rPr>
              <w:t>Implementační předpisy ČR</w:t>
            </w:r>
          </w:p>
        </w:tc>
      </w:tr>
      <w:tr w:rsidR="008D66F0">
        <w:trPr>
          <w:cantSplit/>
          <w:tblHeader/>
        </w:trPr>
        <w:tc>
          <w:tcPr>
            <w:tcW w:w="1440" w:type="dxa"/>
            <w:tcBorders>
              <w:top w:val="single" w:sz="6" w:space="0" w:color="auto"/>
              <w:bottom w:val="single" w:sz="6" w:space="0" w:color="auto"/>
            </w:tcBorders>
          </w:tcPr>
          <w:p w:rsidR="008D66F0" w:rsidRDefault="008D66F0">
            <w:pPr>
              <w:rPr>
                <w:sz w:val="12"/>
              </w:rPr>
            </w:pPr>
            <w:r>
              <w:rPr>
                <w:sz w:val="12"/>
              </w:rPr>
              <w:t>Ustanovení (článek,odst., písm., atd.)</w:t>
            </w:r>
          </w:p>
        </w:tc>
        <w:tc>
          <w:tcPr>
            <w:tcW w:w="5400" w:type="dxa"/>
            <w:gridSpan w:val="4"/>
            <w:tcBorders>
              <w:top w:val="single" w:sz="6" w:space="0" w:color="auto"/>
              <w:bottom w:val="single" w:sz="6" w:space="0" w:color="auto"/>
              <w:right w:val="single" w:sz="18" w:space="0" w:color="auto"/>
            </w:tcBorders>
          </w:tcPr>
          <w:p w:rsidR="008D66F0" w:rsidRDefault="008D66F0">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rsidR="008D66F0" w:rsidRDefault="008D66F0">
            <w:pPr>
              <w:rPr>
                <w:sz w:val="12"/>
              </w:rPr>
            </w:pPr>
            <w:r>
              <w:rPr>
                <w:sz w:val="12"/>
              </w:rPr>
              <w:t>Číslo Sb. / ID</w:t>
            </w:r>
          </w:p>
        </w:tc>
        <w:tc>
          <w:tcPr>
            <w:tcW w:w="1080" w:type="dxa"/>
            <w:tcBorders>
              <w:top w:val="single" w:sz="6" w:space="0" w:color="auto"/>
              <w:bottom w:val="single" w:sz="6" w:space="0" w:color="auto"/>
            </w:tcBorders>
          </w:tcPr>
          <w:p w:rsidR="008D66F0" w:rsidRDefault="008D66F0">
            <w:pPr>
              <w:rPr>
                <w:sz w:val="12"/>
              </w:rPr>
            </w:pPr>
            <w:r>
              <w:rPr>
                <w:sz w:val="12"/>
              </w:rPr>
              <w:t>Ustanovení (§, odst., písm., atd.)</w:t>
            </w:r>
          </w:p>
        </w:tc>
        <w:tc>
          <w:tcPr>
            <w:tcW w:w="5400" w:type="dxa"/>
            <w:gridSpan w:val="4"/>
            <w:tcBorders>
              <w:top w:val="single" w:sz="6" w:space="0" w:color="auto"/>
              <w:bottom w:val="single" w:sz="6" w:space="0" w:color="auto"/>
            </w:tcBorders>
          </w:tcPr>
          <w:p w:rsidR="008D66F0" w:rsidRDefault="008D66F0" w:rsidP="003B061A">
            <w:pPr>
              <w:jc w:val="both"/>
              <w:rPr>
                <w:sz w:val="12"/>
              </w:rPr>
            </w:pPr>
            <w:r>
              <w:rPr>
                <w:sz w:val="12"/>
              </w:rPr>
              <w:t>Citace ustanovení</w:t>
            </w:r>
          </w:p>
        </w:tc>
        <w:tc>
          <w:tcPr>
            <w:tcW w:w="900" w:type="dxa"/>
            <w:tcBorders>
              <w:top w:val="single" w:sz="6" w:space="0" w:color="auto"/>
              <w:bottom w:val="single" w:sz="6" w:space="0" w:color="auto"/>
            </w:tcBorders>
          </w:tcPr>
          <w:p w:rsidR="008D66F0" w:rsidRDefault="008D66F0">
            <w:pPr>
              <w:rPr>
                <w:sz w:val="12"/>
              </w:rPr>
            </w:pPr>
            <w:r>
              <w:rPr>
                <w:sz w:val="12"/>
              </w:rPr>
              <w:t>Vyhodnocení *</w:t>
            </w:r>
          </w:p>
          <w:p w:rsidR="008D66F0" w:rsidRDefault="008D66F0">
            <w:pPr>
              <w:rPr>
                <w:sz w:val="12"/>
              </w:rPr>
            </w:pPr>
          </w:p>
        </w:tc>
        <w:tc>
          <w:tcPr>
            <w:tcW w:w="720" w:type="dxa"/>
            <w:tcBorders>
              <w:top w:val="single" w:sz="6" w:space="0" w:color="auto"/>
              <w:bottom w:val="single" w:sz="6" w:space="0" w:color="auto"/>
            </w:tcBorders>
          </w:tcPr>
          <w:p w:rsidR="008D66F0" w:rsidRDefault="008D66F0">
            <w:pPr>
              <w:rPr>
                <w:sz w:val="12"/>
              </w:rPr>
            </w:pPr>
            <w:r>
              <w:rPr>
                <w:sz w:val="12"/>
              </w:rPr>
              <w:t>Poznámka</w:t>
            </w:r>
          </w:p>
          <w:p w:rsidR="008D66F0" w:rsidRDefault="008D66F0">
            <w:pPr>
              <w:jc w:val="center"/>
              <w:rPr>
                <w:sz w:val="12"/>
              </w:rPr>
            </w:pPr>
          </w:p>
        </w:tc>
      </w:tr>
      <w:tr w:rsidR="008D66F0">
        <w:tc>
          <w:tcPr>
            <w:tcW w:w="1440" w:type="dxa"/>
            <w:tcBorders>
              <w:top w:val="single" w:sz="6" w:space="0" w:color="auto"/>
              <w:left w:val="single" w:sz="4" w:space="0" w:color="auto"/>
              <w:bottom w:val="nil"/>
              <w:right w:val="single" w:sz="4" w:space="0" w:color="auto"/>
            </w:tcBorders>
          </w:tcPr>
          <w:p w:rsidR="008D66F0" w:rsidRDefault="00D759D1" w:rsidP="00E27FE9">
            <w:pPr>
              <w:spacing w:before="60"/>
              <w:rPr>
                <w:sz w:val="18"/>
              </w:rPr>
            </w:pPr>
            <w:r>
              <w:rPr>
                <w:sz w:val="18"/>
              </w:rPr>
              <w:t>Článek </w:t>
            </w:r>
            <w:r w:rsidR="00EC15A1">
              <w:rPr>
                <w:sz w:val="18"/>
              </w:rPr>
              <w:t>1</w:t>
            </w:r>
          </w:p>
        </w:tc>
        <w:tc>
          <w:tcPr>
            <w:tcW w:w="5400" w:type="dxa"/>
            <w:gridSpan w:val="4"/>
            <w:tcBorders>
              <w:top w:val="single" w:sz="6" w:space="0" w:color="auto"/>
              <w:left w:val="single" w:sz="4" w:space="0" w:color="auto"/>
              <w:bottom w:val="nil"/>
              <w:right w:val="single" w:sz="18" w:space="0" w:color="auto"/>
            </w:tcBorders>
          </w:tcPr>
          <w:p w:rsidR="008D66F0" w:rsidRDefault="00A21979" w:rsidP="00A21979">
            <w:pPr>
              <w:pStyle w:val="Zpat"/>
              <w:tabs>
                <w:tab w:val="clear" w:pos="4536"/>
                <w:tab w:val="clear" w:pos="9072"/>
              </w:tabs>
              <w:rPr>
                <w:sz w:val="18"/>
              </w:rPr>
            </w:pPr>
            <w:r>
              <w:rPr>
                <w:color w:val="444444"/>
                <w:sz w:val="18"/>
                <w:szCs w:val="18"/>
              </w:rPr>
              <w:t>Toto nařízení stanoví prováděcí opatření k určitým ustanovením hlav I až V a VII až XII směrnice 2006/112/ES.</w:t>
            </w:r>
          </w:p>
        </w:tc>
        <w:tc>
          <w:tcPr>
            <w:tcW w:w="900" w:type="dxa"/>
            <w:tcBorders>
              <w:top w:val="single" w:sz="6" w:space="0" w:color="auto"/>
              <w:left w:val="single" w:sz="18" w:space="0" w:color="auto"/>
              <w:bottom w:val="nil"/>
              <w:right w:val="single" w:sz="4" w:space="0" w:color="auto"/>
            </w:tcBorders>
          </w:tcPr>
          <w:p w:rsidR="008D66F0" w:rsidRDefault="008D66F0">
            <w:pPr>
              <w:rPr>
                <w:sz w:val="18"/>
              </w:rPr>
            </w:pPr>
          </w:p>
        </w:tc>
        <w:tc>
          <w:tcPr>
            <w:tcW w:w="1080" w:type="dxa"/>
            <w:tcBorders>
              <w:top w:val="single" w:sz="6" w:space="0" w:color="auto"/>
              <w:left w:val="single" w:sz="4" w:space="0" w:color="auto"/>
              <w:bottom w:val="nil"/>
              <w:right w:val="single" w:sz="4" w:space="0" w:color="auto"/>
            </w:tcBorders>
          </w:tcPr>
          <w:p w:rsidR="008D66F0" w:rsidRDefault="008D66F0">
            <w:pPr>
              <w:rPr>
                <w:sz w:val="18"/>
              </w:rPr>
            </w:pPr>
          </w:p>
        </w:tc>
        <w:tc>
          <w:tcPr>
            <w:tcW w:w="5400" w:type="dxa"/>
            <w:gridSpan w:val="4"/>
            <w:tcBorders>
              <w:top w:val="single" w:sz="6" w:space="0" w:color="auto"/>
              <w:left w:val="single" w:sz="4" w:space="0" w:color="auto"/>
              <w:bottom w:val="nil"/>
              <w:right w:val="single" w:sz="4" w:space="0" w:color="auto"/>
            </w:tcBorders>
          </w:tcPr>
          <w:p w:rsidR="008D66F0" w:rsidRDefault="00EC15A1" w:rsidP="003B061A">
            <w:pPr>
              <w:spacing w:before="60"/>
              <w:jc w:val="both"/>
              <w:rPr>
                <w:sz w:val="18"/>
              </w:rPr>
            </w:pPr>
            <w:r>
              <w:rPr>
                <w:i/>
                <w:sz w:val="18"/>
              </w:rPr>
              <w:t>Nerelevantní z hlediska adaptace. Ustanovení má pouze deklaratorní charakter.</w:t>
            </w:r>
          </w:p>
        </w:tc>
        <w:tc>
          <w:tcPr>
            <w:tcW w:w="900" w:type="dxa"/>
            <w:tcBorders>
              <w:top w:val="single" w:sz="6" w:space="0" w:color="auto"/>
              <w:left w:val="single" w:sz="4" w:space="0" w:color="auto"/>
              <w:bottom w:val="nil"/>
              <w:right w:val="single" w:sz="4" w:space="0" w:color="auto"/>
            </w:tcBorders>
          </w:tcPr>
          <w:p w:rsidR="008D66F0" w:rsidRDefault="00EC15A1" w:rsidP="00EC15A1">
            <w:pPr>
              <w:jc w:val="center"/>
              <w:rPr>
                <w:sz w:val="18"/>
              </w:rPr>
            </w:pPr>
            <w:r>
              <w:rPr>
                <w:sz w:val="18"/>
              </w:rPr>
              <w:t>NA</w:t>
            </w:r>
          </w:p>
        </w:tc>
        <w:tc>
          <w:tcPr>
            <w:tcW w:w="720" w:type="dxa"/>
            <w:tcBorders>
              <w:top w:val="single" w:sz="6" w:space="0" w:color="auto"/>
              <w:left w:val="single" w:sz="4" w:space="0" w:color="auto"/>
              <w:bottom w:val="nil"/>
              <w:right w:val="single" w:sz="4" w:space="0" w:color="auto"/>
            </w:tcBorders>
          </w:tcPr>
          <w:p w:rsidR="008D66F0" w:rsidRDefault="008D66F0">
            <w:pPr>
              <w:rPr>
                <w:sz w:val="18"/>
              </w:rPr>
            </w:pPr>
          </w:p>
        </w:tc>
      </w:tr>
      <w:tr w:rsidR="00EC15A1">
        <w:tc>
          <w:tcPr>
            <w:tcW w:w="1440" w:type="dxa"/>
            <w:tcBorders>
              <w:top w:val="single" w:sz="4" w:space="0" w:color="auto"/>
              <w:left w:val="single" w:sz="4" w:space="0" w:color="auto"/>
              <w:bottom w:val="nil"/>
              <w:right w:val="single" w:sz="4" w:space="0" w:color="auto"/>
            </w:tcBorders>
          </w:tcPr>
          <w:p w:rsidR="00EC15A1" w:rsidRDefault="00D759D1" w:rsidP="00E27FE9">
            <w:pPr>
              <w:spacing w:before="60"/>
              <w:rPr>
                <w:sz w:val="18"/>
              </w:rPr>
            </w:pPr>
            <w:r>
              <w:rPr>
                <w:sz w:val="18"/>
              </w:rPr>
              <w:t>Článek </w:t>
            </w:r>
            <w:r w:rsidR="00A21979">
              <w:rPr>
                <w:sz w:val="18"/>
              </w:rPr>
              <w:t>2</w:t>
            </w:r>
          </w:p>
        </w:tc>
        <w:tc>
          <w:tcPr>
            <w:tcW w:w="5400" w:type="dxa"/>
            <w:gridSpan w:val="4"/>
            <w:tcBorders>
              <w:top w:val="single" w:sz="4" w:space="0" w:color="auto"/>
              <w:left w:val="single" w:sz="4" w:space="0" w:color="auto"/>
              <w:bottom w:val="nil"/>
              <w:right w:val="single" w:sz="18" w:space="0" w:color="auto"/>
            </w:tcBorders>
          </w:tcPr>
          <w:p w:rsidR="00A21979" w:rsidRDefault="00A21979" w:rsidP="00A21979">
            <w:pPr>
              <w:shd w:val="clear" w:color="auto" w:fill="FFFFFF"/>
              <w:spacing w:before="60"/>
              <w:jc w:val="both"/>
              <w:rPr>
                <w:color w:val="444444"/>
                <w:sz w:val="18"/>
                <w:szCs w:val="18"/>
              </w:rPr>
            </w:pPr>
            <w:r>
              <w:rPr>
                <w:color w:val="444444"/>
                <w:sz w:val="18"/>
                <w:szCs w:val="18"/>
              </w:rPr>
              <w:t>K pořízení uvnitř Společenství ve smyslu čl. 2 odst. 1 písm. b) směrnice 2006/112/ES nedochází v případě:</w:t>
            </w:r>
          </w:p>
          <w:p w:rsidR="00A21979" w:rsidRDefault="00A21979" w:rsidP="00A21979">
            <w:pPr>
              <w:spacing w:before="60"/>
              <w:jc w:val="both"/>
              <w:rPr>
                <w:color w:val="444444"/>
                <w:sz w:val="18"/>
                <w:szCs w:val="18"/>
              </w:rPr>
            </w:pPr>
            <w:r>
              <w:rPr>
                <w:color w:val="444444"/>
                <w:sz w:val="18"/>
                <w:szCs w:val="18"/>
              </w:rPr>
              <w:t>a) převodu nového dopravního prostředku osobou nepovinnou k dani po změně místa, kde se osoba zdržuje, za podmínky, že by nemohlo být v okamžiku dodání použito osvobození stanovené v čl. 138 odst. 2 písm.</w:t>
            </w:r>
            <w:r w:rsidR="00D34027">
              <w:rPr>
                <w:color w:val="444444"/>
                <w:sz w:val="18"/>
                <w:szCs w:val="18"/>
              </w:rPr>
              <w:t> </w:t>
            </w:r>
            <w:r>
              <w:rPr>
                <w:color w:val="444444"/>
                <w:sz w:val="18"/>
                <w:szCs w:val="18"/>
              </w:rPr>
              <w:t>a) směrnice 2006/112/ES;</w:t>
            </w:r>
          </w:p>
          <w:p w:rsidR="00EC15A1" w:rsidRDefault="00A21979" w:rsidP="00A21979">
            <w:pPr>
              <w:rPr>
                <w:sz w:val="18"/>
              </w:rPr>
            </w:pPr>
            <w:r>
              <w:rPr>
                <w:color w:val="444444"/>
                <w:sz w:val="18"/>
                <w:szCs w:val="18"/>
              </w:rPr>
              <w:t>b) vrácení nového dopravního prostředku osobou nepovinnou k dani do členského státu, z něhož jí byl původně dodán s osvobozením od daně stanoveným v čl. 138 odst. 2 písm. a) směrnice 2006/112/ES.</w:t>
            </w:r>
          </w:p>
        </w:tc>
        <w:tc>
          <w:tcPr>
            <w:tcW w:w="900" w:type="dxa"/>
            <w:tcBorders>
              <w:top w:val="single" w:sz="4" w:space="0" w:color="auto"/>
              <w:left w:val="single" w:sz="18" w:space="0" w:color="auto"/>
              <w:bottom w:val="nil"/>
              <w:right w:val="single" w:sz="4" w:space="0" w:color="auto"/>
            </w:tcBorders>
          </w:tcPr>
          <w:p w:rsidR="00EC15A1" w:rsidRDefault="00EC15A1">
            <w:pPr>
              <w:rPr>
                <w:sz w:val="18"/>
              </w:rPr>
            </w:pPr>
          </w:p>
        </w:tc>
        <w:tc>
          <w:tcPr>
            <w:tcW w:w="1080" w:type="dxa"/>
            <w:tcBorders>
              <w:top w:val="single" w:sz="4" w:space="0" w:color="auto"/>
              <w:left w:val="single" w:sz="4" w:space="0" w:color="auto"/>
              <w:bottom w:val="nil"/>
              <w:right w:val="single" w:sz="4" w:space="0" w:color="auto"/>
            </w:tcBorders>
          </w:tcPr>
          <w:p w:rsidR="00EC15A1" w:rsidRDefault="00EC15A1">
            <w:pPr>
              <w:rPr>
                <w:sz w:val="18"/>
              </w:rPr>
            </w:pPr>
          </w:p>
        </w:tc>
        <w:tc>
          <w:tcPr>
            <w:tcW w:w="5400" w:type="dxa"/>
            <w:gridSpan w:val="4"/>
            <w:tcBorders>
              <w:top w:val="single" w:sz="4" w:space="0" w:color="auto"/>
              <w:left w:val="single" w:sz="4" w:space="0" w:color="auto"/>
              <w:bottom w:val="nil"/>
              <w:right w:val="single" w:sz="4" w:space="0" w:color="auto"/>
            </w:tcBorders>
          </w:tcPr>
          <w:p w:rsidR="00EC15A1" w:rsidRDefault="005C5A7E" w:rsidP="003B061A">
            <w:pPr>
              <w:spacing w:before="6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EC15A1" w:rsidRDefault="00EC15A1">
            <w:pPr>
              <w:jc w:val="center"/>
              <w:rPr>
                <w:sz w:val="18"/>
              </w:rPr>
            </w:pPr>
            <w:r>
              <w:rPr>
                <w:sz w:val="18"/>
              </w:rPr>
              <w:t>NA</w:t>
            </w:r>
          </w:p>
        </w:tc>
        <w:tc>
          <w:tcPr>
            <w:tcW w:w="720" w:type="dxa"/>
            <w:tcBorders>
              <w:top w:val="single" w:sz="4" w:space="0" w:color="auto"/>
              <w:left w:val="single" w:sz="4" w:space="0" w:color="auto"/>
              <w:bottom w:val="nil"/>
              <w:right w:val="single" w:sz="4" w:space="0" w:color="auto"/>
            </w:tcBorders>
          </w:tcPr>
          <w:p w:rsidR="00EC15A1" w:rsidRDefault="00EC15A1">
            <w:pPr>
              <w:rPr>
                <w:sz w:val="18"/>
              </w:rPr>
            </w:pPr>
          </w:p>
        </w:tc>
      </w:tr>
      <w:tr w:rsidR="00A21979">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w:t>
            </w:r>
            <w:r w:rsidR="00B9506B">
              <w:rPr>
                <w:sz w:val="18"/>
              </w:rPr>
              <w:t>3</w:t>
            </w:r>
          </w:p>
        </w:tc>
        <w:tc>
          <w:tcPr>
            <w:tcW w:w="5400" w:type="dxa"/>
            <w:gridSpan w:val="4"/>
            <w:tcBorders>
              <w:top w:val="single" w:sz="4" w:space="0" w:color="auto"/>
              <w:left w:val="single" w:sz="4" w:space="0" w:color="auto"/>
              <w:bottom w:val="nil"/>
              <w:right w:val="single" w:sz="18" w:space="0" w:color="auto"/>
            </w:tcBorders>
          </w:tcPr>
          <w:p w:rsidR="00840F80" w:rsidRDefault="00840F80" w:rsidP="00840F80">
            <w:pPr>
              <w:shd w:val="clear" w:color="auto" w:fill="FFFFFF"/>
              <w:spacing w:before="60"/>
              <w:jc w:val="both"/>
              <w:rPr>
                <w:color w:val="444444"/>
                <w:sz w:val="18"/>
                <w:szCs w:val="18"/>
              </w:rPr>
            </w:pPr>
            <w:r>
              <w:rPr>
                <w:color w:val="444444"/>
                <w:sz w:val="18"/>
                <w:szCs w:val="18"/>
              </w:rPr>
              <w:t>Aniž je dotčen čl. 59a první pododstavec písm. b) směrnice 2006/112/ES, poskytnutí následujících služeb není předmětem DPH, jestliže poskytovatel prokáže, že se místo poskytnutí takové služby určené podle kapitoly V oddílu 4 pododdílů 3 a 4 tohoto nařízení nachází mimo Společenství:</w:t>
            </w:r>
          </w:p>
          <w:p w:rsidR="00840F80" w:rsidRDefault="00840F80" w:rsidP="00D34027">
            <w:pPr>
              <w:jc w:val="both"/>
              <w:rPr>
                <w:color w:val="444444"/>
                <w:sz w:val="18"/>
                <w:szCs w:val="18"/>
              </w:rPr>
            </w:pPr>
            <w:r>
              <w:rPr>
                <w:color w:val="444444"/>
                <w:sz w:val="18"/>
                <w:szCs w:val="18"/>
              </w:rPr>
              <w:t>a) od 1. ledna 2013 služeb uvedených v čl. 56 odst. 2 prvním pododstavci směrnice 2006/112/ES;</w:t>
            </w:r>
          </w:p>
          <w:p w:rsidR="00840F80" w:rsidRDefault="00840F80" w:rsidP="00D34027">
            <w:pPr>
              <w:jc w:val="both"/>
              <w:rPr>
                <w:color w:val="444444"/>
                <w:sz w:val="18"/>
                <w:szCs w:val="18"/>
              </w:rPr>
            </w:pPr>
            <w:r>
              <w:rPr>
                <w:color w:val="444444"/>
                <w:sz w:val="18"/>
                <w:szCs w:val="18"/>
              </w:rPr>
              <w:t>b) od 1. ledna 2015 služeb uvedených v článku 58 směrnice 2006/112/ES;</w:t>
            </w:r>
          </w:p>
          <w:p w:rsidR="00A21979" w:rsidRDefault="00840F80" w:rsidP="00D34027">
            <w:pPr>
              <w:rPr>
                <w:sz w:val="18"/>
              </w:rPr>
            </w:pPr>
            <w:r>
              <w:rPr>
                <w:color w:val="444444"/>
                <w:sz w:val="18"/>
                <w:szCs w:val="18"/>
              </w:rPr>
              <w:t>c) služeb uvedených v článku 59 směrnice 2006/112/ES.</w:t>
            </w:r>
          </w:p>
        </w:tc>
        <w:tc>
          <w:tcPr>
            <w:tcW w:w="900" w:type="dxa"/>
            <w:tcBorders>
              <w:top w:val="single" w:sz="4" w:space="0" w:color="auto"/>
              <w:left w:val="single" w:sz="18" w:space="0" w:color="auto"/>
              <w:bottom w:val="nil"/>
              <w:right w:val="single" w:sz="4" w:space="0" w:color="auto"/>
            </w:tcBorders>
          </w:tcPr>
          <w:p w:rsidR="00A21979" w:rsidRDefault="00A21979">
            <w:pPr>
              <w:rPr>
                <w:sz w:val="18"/>
              </w:rPr>
            </w:pPr>
          </w:p>
        </w:tc>
        <w:tc>
          <w:tcPr>
            <w:tcW w:w="1080" w:type="dxa"/>
            <w:tcBorders>
              <w:top w:val="single" w:sz="4" w:space="0" w:color="auto"/>
              <w:left w:val="single" w:sz="4" w:space="0" w:color="auto"/>
              <w:bottom w:val="nil"/>
              <w:right w:val="single" w:sz="4" w:space="0" w:color="auto"/>
            </w:tcBorders>
          </w:tcPr>
          <w:p w:rsidR="00A21979" w:rsidRDefault="00A21979">
            <w:pPr>
              <w:rPr>
                <w:sz w:val="18"/>
              </w:rPr>
            </w:pPr>
          </w:p>
        </w:tc>
        <w:tc>
          <w:tcPr>
            <w:tcW w:w="5400" w:type="dxa"/>
            <w:gridSpan w:val="4"/>
            <w:tcBorders>
              <w:top w:val="single" w:sz="4" w:space="0" w:color="auto"/>
              <w:left w:val="single" w:sz="4" w:space="0" w:color="auto"/>
              <w:bottom w:val="nil"/>
              <w:right w:val="single" w:sz="4" w:space="0" w:color="auto"/>
            </w:tcBorders>
          </w:tcPr>
          <w:p w:rsidR="00A21979" w:rsidRDefault="005C5A7E" w:rsidP="003B061A">
            <w:pPr>
              <w:spacing w:before="6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1979" w:rsidRDefault="00A21979"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A21979">
        <w:tc>
          <w:tcPr>
            <w:tcW w:w="1440" w:type="dxa"/>
            <w:tcBorders>
              <w:top w:val="single" w:sz="4" w:space="0" w:color="auto"/>
              <w:left w:val="single" w:sz="4" w:space="0" w:color="auto"/>
              <w:bottom w:val="nil"/>
              <w:right w:val="single" w:sz="4" w:space="0" w:color="auto"/>
            </w:tcBorders>
          </w:tcPr>
          <w:p w:rsidR="00A21979" w:rsidRDefault="00D759D1" w:rsidP="00C24BA2">
            <w:pPr>
              <w:spacing w:before="60"/>
            </w:pPr>
            <w:r>
              <w:rPr>
                <w:sz w:val="18"/>
              </w:rPr>
              <w:t>Článek </w:t>
            </w:r>
            <w:r w:rsidR="00E27FE9">
              <w:rPr>
                <w:sz w:val="18"/>
              </w:rPr>
              <w:t>4</w:t>
            </w:r>
            <w:r w:rsidR="006B3892">
              <w:rPr>
                <w:sz w:val="18"/>
              </w:rPr>
              <w:t xml:space="preserve"> 1. </w:t>
            </w:r>
            <w:r w:rsidR="00C24BA2">
              <w:rPr>
                <w:sz w:val="18"/>
              </w:rPr>
              <w:t>pod</w:t>
            </w:r>
            <w:r w:rsidR="006B3892">
              <w:rPr>
                <w:sz w:val="18"/>
              </w:rPr>
              <w:t>odst</w:t>
            </w:r>
            <w:r w:rsidR="00C24BA2">
              <w:rPr>
                <w:sz w:val="18"/>
              </w:rPr>
              <w:t>.</w:t>
            </w:r>
          </w:p>
        </w:tc>
        <w:tc>
          <w:tcPr>
            <w:tcW w:w="5400" w:type="dxa"/>
            <w:gridSpan w:val="4"/>
            <w:tcBorders>
              <w:top w:val="single" w:sz="4" w:space="0" w:color="auto"/>
              <w:left w:val="single" w:sz="4" w:space="0" w:color="auto"/>
              <w:bottom w:val="nil"/>
              <w:right w:val="single" w:sz="18" w:space="0" w:color="auto"/>
            </w:tcBorders>
          </w:tcPr>
          <w:p w:rsidR="00A21979" w:rsidRPr="00E27FE9" w:rsidRDefault="00E27FE9" w:rsidP="00E27FE9">
            <w:pPr>
              <w:shd w:val="clear" w:color="auto" w:fill="FFFFFF"/>
              <w:spacing w:before="60"/>
              <w:jc w:val="both"/>
              <w:rPr>
                <w:color w:val="444444"/>
                <w:sz w:val="18"/>
                <w:szCs w:val="18"/>
              </w:rPr>
            </w:pPr>
            <w:r>
              <w:rPr>
                <w:color w:val="444444"/>
                <w:sz w:val="18"/>
                <w:szCs w:val="18"/>
              </w:rPr>
              <w:t>Osoba povinná k dani, která je oprávněna k nezdanění svých pořízení zboží uvnitř Společenství v souladu s článkem 3 směrnice 2006/112/ES, zůstává touto osobou, pokud podle čl. 214 odst. 1 písmen d) nebo e) uvedené směrnice bylo uvedené osobě povinné k dani přiděleno identifikační číslo pro DPH pro přijaté služby, z nichž je povinna odvést DPH, nebo pro služby poskytnuté uvedenou osobou na území jiného členského státu, u nichž je DPH splatná pouze příjemcem.</w:t>
            </w:r>
          </w:p>
        </w:tc>
        <w:tc>
          <w:tcPr>
            <w:tcW w:w="900" w:type="dxa"/>
            <w:tcBorders>
              <w:top w:val="single" w:sz="4" w:space="0" w:color="auto"/>
              <w:left w:val="single" w:sz="18" w:space="0" w:color="auto"/>
              <w:bottom w:val="nil"/>
              <w:right w:val="single" w:sz="4" w:space="0" w:color="auto"/>
            </w:tcBorders>
          </w:tcPr>
          <w:p w:rsidR="00A21979" w:rsidRDefault="00DF5F1C">
            <w:pPr>
              <w:rPr>
                <w:sz w:val="18"/>
              </w:rPr>
            </w:pPr>
            <w:r>
              <w:rPr>
                <w:sz w:val="18"/>
              </w:rPr>
              <w:t>235/2004 ve znění 502/2012</w:t>
            </w:r>
          </w:p>
        </w:tc>
        <w:tc>
          <w:tcPr>
            <w:tcW w:w="1080" w:type="dxa"/>
            <w:tcBorders>
              <w:top w:val="single" w:sz="4" w:space="0" w:color="auto"/>
              <w:left w:val="single" w:sz="4" w:space="0" w:color="auto"/>
              <w:bottom w:val="nil"/>
              <w:right w:val="single" w:sz="4" w:space="0" w:color="auto"/>
            </w:tcBorders>
          </w:tcPr>
          <w:p w:rsidR="00A21979" w:rsidRDefault="006B3892" w:rsidP="00F111D6">
            <w:pPr>
              <w:rPr>
                <w:sz w:val="18"/>
              </w:rPr>
            </w:pPr>
            <w:r>
              <w:rPr>
                <w:sz w:val="18"/>
              </w:rPr>
              <w:t>§ 2a odst. </w:t>
            </w:r>
            <w:r w:rsidR="00DF5F1C">
              <w:rPr>
                <w:sz w:val="18"/>
              </w:rPr>
              <w:t xml:space="preserve">2 písm. b) </w:t>
            </w:r>
          </w:p>
        </w:tc>
        <w:tc>
          <w:tcPr>
            <w:tcW w:w="5400" w:type="dxa"/>
            <w:gridSpan w:val="4"/>
            <w:tcBorders>
              <w:top w:val="single" w:sz="4" w:space="0" w:color="auto"/>
              <w:left w:val="single" w:sz="4" w:space="0" w:color="auto"/>
              <w:bottom w:val="nil"/>
              <w:right w:val="single" w:sz="4" w:space="0" w:color="auto"/>
            </w:tcBorders>
          </w:tcPr>
          <w:p w:rsidR="00DF5F1C" w:rsidRDefault="00DF5F1C" w:rsidP="003B061A">
            <w:pPr>
              <w:spacing w:before="60"/>
              <w:jc w:val="both"/>
              <w:rPr>
                <w:sz w:val="18"/>
              </w:rPr>
            </w:pPr>
            <w:r>
              <w:rPr>
                <w:sz w:val="18"/>
              </w:rPr>
              <w:t>Předmětem daně není pořízení zboží z jiného členského státu, pokud</w:t>
            </w:r>
          </w:p>
          <w:p w:rsidR="00DF5F1C" w:rsidRDefault="00DF5F1C" w:rsidP="003B061A">
            <w:pPr>
              <w:jc w:val="both"/>
              <w:rPr>
                <w:sz w:val="18"/>
              </w:rPr>
            </w:pPr>
            <w:r>
              <w:rPr>
                <w:sz w:val="18"/>
              </w:rPr>
              <w:t>b) pořízení zboží je uskutečněno</w:t>
            </w:r>
          </w:p>
          <w:p w:rsidR="00F111D6" w:rsidRDefault="00F111D6" w:rsidP="003B061A">
            <w:pPr>
              <w:jc w:val="both"/>
              <w:rPr>
                <w:sz w:val="18"/>
              </w:rPr>
            </w:pPr>
            <w:r>
              <w:rPr>
                <w:sz w:val="18"/>
              </w:rPr>
              <w:t>1. osobou povinnou k dani se sídlem v tuzemsku, která není plátcem,</w:t>
            </w:r>
          </w:p>
          <w:p w:rsidR="00F111D6" w:rsidRDefault="00F111D6" w:rsidP="003B061A">
            <w:pPr>
              <w:jc w:val="both"/>
              <w:rPr>
                <w:sz w:val="18"/>
              </w:rPr>
            </w:pPr>
            <w:r>
              <w:rPr>
                <w:sz w:val="18"/>
              </w:rPr>
              <w:t>2. osvobozenou osobou, která není plátcem,</w:t>
            </w:r>
          </w:p>
          <w:p w:rsidR="00F111D6" w:rsidRDefault="00F111D6" w:rsidP="003B061A">
            <w:pPr>
              <w:jc w:val="both"/>
              <w:rPr>
                <w:sz w:val="18"/>
              </w:rPr>
            </w:pPr>
            <w:r>
              <w:rPr>
                <w:sz w:val="18"/>
              </w:rPr>
              <w:t>3. osobou povinnou k dani, která uskutečňuje pouze plnění osvobozená od daně bez nároku na odpočet daně,</w:t>
            </w:r>
          </w:p>
          <w:p w:rsidR="00F111D6" w:rsidRDefault="00F111D6" w:rsidP="003B061A">
            <w:pPr>
              <w:jc w:val="both"/>
              <w:rPr>
                <w:sz w:val="18"/>
              </w:rPr>
            </w:pPr>
            <w:r>
              <w:rPr>
                <w:sz w:val="18"/>
              </w:rPr>
              <w:t>4. osobou povinnou k dani, na kterou se v jiném členském státě vztahuje společný režim daňového paušálu pro zemědělce, nebo</w:t>
            </w:r>
          </w:p>
          <w:p w:rsidR="00A21979" w:rsidRDefault="00F111D6" w:rsidP="003B061A">
            <w:pPr>
              <w:jc w:val="both"/>
              <w:rPr>
                <w:sz w:val="18"/>
              </w:rPr>
            </w:pPr>
            <w:r>
              <w:rPr>
                <w:sz w:val="18"/>
              </w:rPr>
              <w:t>5. právnickou osobou nepovinnou k dani.</w:t>
            </w:r>
          </w:p>
        </w:tc>
        <w:tc>
          <w:tcPr>
            <w:tcW w:w="900" w:type="dxa"/>
            <w:tcBorders>
              <w:top w:val="single" w:sz="4" w:space="0" w:color="auto"/>
              <w:left w:val="single" w:sz="4" w:space="0" w:color="auto"/>
              <w:bottom w:val="nil"/>
              <w:right w:val="single" w:sz="4" w:space="0" w:color="auto"/>
            </w:tcBorders>
          </w:tcPr>
          <w:p w:rsidR="00A21979"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F111D6" w:rsidTr="007D73E2">
        <w:tc>
          <w:tcPr>
            <w:tcW w:w="1440" w:type="dxa"/>
            <w:tcBorders>
              <w:top w:val="single" w:sz="4" w:space="0" w:color="auto"/>
              <w:left w:val="single" w:sz="4" w:space="0" w:color="auto"/>
              <w:bottom w:val="nil"/>
              <w:right w:val="single" w:sz="4" w:space="0" w:color="auto"/>
            </w:tcBorders>
          </w:tcPr>
          <w:p w:rsidR="00F111D6" w:rsidRDefault="00D759D1" w:rsidP="00C24BA2">
            <w:pPr>
              <w:spacing w:before="60"/>
            </w:pPr>
            <w:r>
              <w:rPr>
                <w:sz w:val="18"/>
              </w:rPr>
              <w:t>Článek </w:t>
            </w:r>
            <w:r w:rsidR="00F111D6">
              <w:rPr>
                <w:sz w:val="18"/>
              </w:rPr>
              <w:t>4 2. </w:t>
            </w:r>
            <w:r w:rsidR="00C24BA2">
              <w:rPr>
                <w:sz w:val="18"/>
              </w:rPr>
              <w:t>pod</w:t>
            </w:r>
            <w:r w:rsidR="00F111D6">
              <w:rPr>
                <w:sz w:val="18"/>
              </w:rPr>
              <w:t>odst</w:t>
            </w:r>
            <w:r w:rsidR="00C24BA2">
              <w:rPr>
                <w:sz w:val="18"/>
              </w:rPr>
              <w:t>.</w:t>
            </w:r>
          </w:p>
        </w:tc>
        <w:tc>
          <w:tcPr>
            <w:tcW w:w="5400" w:type="dxa"/>
            <w:gridSpan w:val="4"/>
            <w:tcBorders>
              <w:top w:val="single" w:sz="4" w:space="0" w:color="auto"/>
              <w:left w:val="single" w:sz="4" w:space="0" w:color="auto"/>
              <w:bottom w:val="nil"/>
              <w:right w:val="single" w:sz="18" w:space="0" w:color="auto"/>
            </w:tcBorders>
          </w:tcPr>
          <w:p w:rsidR="00F111D6" w:rsidRPr="00E27FE9" w:rsidRDefault="00F111D6" w:rsidP="00F111D6">
            <w:pPr>
              <w:shd w:val="clear" w:color="auto" w:fill="FFFFFF"/>
              <w:spacing w:before="60"/>
              <w:jc w:val="both"/>
              <w:rPr>
                <w:color w:val="444444"/>
                <w:sz w:val="18"/>
                <w:szCs w:val="18"/>
              </w:rPr>
            </w:pPr>
            <w:r>
              <w:rPr>
                <w:color w:val="444444"/>
                <w:sz w:val="18"/>
                <w:szCs w:val="18"/>
              </w:rPr>
              <w:t>Pokud však uvedená osoba povinná k dani toto identifikační číslo pro DPH sdělí dodavateli v souvislosti s pořízením zboží uvnitř Společenství, má se za to, že tato osoba využila možnost stanovenou v čl. 3 odst. 3 uvedené směrnice.</w:t>
            </w:r>
          </w:p>
        </w:tc>
        <w:tc>
          <w:tcPr>
            <w:tcW w:w="900" w:type="dxa"/>
            <w:tcBorders>
              <w:top w:val="single" w:sz="4" w:space="0" w:color="auto"/>
              <w:left w:val="single" w:sz="18" w:space="0" w:color="auto"/>
              <w:bottom w:val="nil"/>
              <w:right w:val="single" w:sz="4" w:space="0" w:color="auto"/>
            </w:tcBorders>
          </w:tcPr>
          <w:p w:rsidR="00F111D6" w:rsidRDefault="00F111D6" w:rsidP="00F111D6">
            <w:pPr>
              <w:rPr>
                <w:sz w:val="18"/>
              </w:rPr>
            </w:pPr>
            <w:r>
              <w:rPr>
                <w:sz w:val="18"/>
              </w:rPr>
              <w:t>235/2004 ve znění 502/2012</w:t>
            </w:r>
          </w:p>
        </w:tc>
        <w:tc>
          <w:tcPr>
            <w:tcW w:w="1080" w:type="dxa"/>
            <w:tcBorders>
              <w:top w:val="single" w:sz="4" w:space="0" w:color="auto"/>
              <w:left w:val="single" w:sz="4" w:space="0" w:color="auto"/>
              <w:bottom w:val="nil"/>
              <w:right w:val="single" w:sz="4" w:space="0" w:color="auto"/>
            </w:tcBorders>
          </w:tcPr>
          <w:p w:rsidR="00F111D6" w:rsidRDefault="00F111D6" w:rsidP="00F111D6">
            <w:pPr>
              <w:rPr>
                <w:sz w:val="18"/>
              </w:rPr>
            </w:pPr>
            <w:r>
              <w:rPr>
                <w:sz w:val="18"/>
              </w:rPr>
              <w:t>§ 2b</w:t>
            </w:r>
          </w:p>
        </w:tc>
        <w:tc>
          <w:tcPr>
            <w:tcW w:w="5400" w:type="dxa"/>
            <w:gridSpan w:val="4"/>
            <w:tcBorders>
              <w:top w:val="single" w:sz="4" w:space="0" w:color="auto"/>
              <w:left w:val="single" w:sz="4" w:space="0" w:color="auto"/>
              <w:bottom w:val="nil"/>
              <w:right w:val="single" w:sz="4" w:space="0" w:color="auto"/>
            </w:tcBorders>
          </w:tcPr>
          <w:p w:rsidR="00F111D6" w:rsidRDefault="00F111D6" w:rsidP="003B061A">
            <w:pPr>
              <w:spacing w:before="60"/>
              <w:jc w:val="both"/>
              <w:rPr>
                <w:sz w:val="18"/>
              </w:rPr>
            </w:pPr>
            <w:r>
              <w:rPr>
                <w:sz w:val="18"/>
              </w:rPr>
              <w:t>Osoba, která uskutečňuje pořízení zboží z jiného členského státu, které není předmětem daně podle § 2a odst. 2, se může rozhodnout, že toto pořízení je předmětem daně. Na pořízení zboží z jiného členského státu uskutečněné touto osobou do konce kalendářního roku bezprostředně následujícího po kalendářním roce, ve kterém se takto rozhodla, se nevztahuje § 2a odst. 2.</w:t>
            </w:r>
          </w:p>
        </w:tc>
        <w:tc>
          <w:tcPr>
            <w:tcW w:w="900" w:type="dxa"/>
            <w:tcBorders>
              <w:top w:val="single" w:sz="4" w:space="0" w:color="auto"/>
              <w:left w:val="single" w:sz="4" w:space="0" w:color="auto"/>
              <w:bottom w:val="nil"/>
              <w:right w:val="single" w:sz="4" w:space="0" w:color="auto"/>
            </w:tcBorders>
          </w:tcPr>
          <w:p w:rsidR="00F111D6" w:rsidRDefault="00704E5C" w:rsidP="00F111D6">
            <w:pPr>
              <w:jc w:val="center"/>
            </w:pPr>
            <w:r>
              <w:rPr>
                <w:sz w:val="18"/>
              </w:rPr>
              <w:t>PAD</w:t>
            </w:r>
          </w:p>
        </w:tc>
        <w:tc>
          <w:tcPr>
            <w:tcW w:w="720" w:type="dxa"/>
            <w:tcBorders>
              <w:top w:val="single" w:sz="4" w:space="0" w:color="auto"/>
              <w:left w:val="single" w:sz="4" w:space="0" w:color="auto"/>
              <w:bottom w:val="nil"/>
              <w:right w:val="single" w:sz="4" w:space="0" w:color="auto"/>
            </w:tcBorders>
          </w:tcPr>
          <w:p w:rsidR="00F111D6" w:rsidRDefault="00F111D6" w:rsidP="00F111D6">
            <w:pPr>
              <w:rPr>
                <w:sz w:val="18"/>
              </w:rPr>
            </w:pPr>
          </w:p>
        </w:tc>
      </w:tr>
      <w:tr w:rsidR="007D73E2" w:rsidTr="007D73E2">
        <w:tc>
          <w:tcPr>
            <w:tcW w:w="1440" w:type="dxa"/>
            <w:tcBorders>
              <w:top w:val="nil"/>
              <w:left w:val="single" w:sz="4" w:space="0" w:color="auto"/>
              <w:bottom w:val="single" w:sz="4" w:space="0" w:color="auto"/>
              <w:right w:val="single" w:sz="4" w:space="0" w:color="auto"/>
            </w:tcBorders>
          </w:tcPr>
          <w:p w:rsidR="007D73E2" w:rsidRPr="002B7ECB" w:rsidRDefault="007D73E2" w:rsidP="00F111D6">
            <w:pPr>
              <w:spacing w:before="60"/>
              <w:rPr>
                <w:sz w:val="18"/>
              </w:rPr>
            </w:pPr>
          </w:p>
        </w:tc>
        <w:tc>
          <w:tcPr>
            <w:tcW w:w="5400" w:type="dxa"/>
            <w:gridSpan w:val="4"/>
            <w:tcBorders>
              <w:top w:val="nil"/>
              <w:left w:val="single" w:sz="4" w:space="0" w:color="auto"/>
              <w:bottom w:val="single" w:sz="4" w:space="0" w:color="auto"/>
              <w:right w:val="single" w:sz="18" w:space="0" w:color="auto"/>
            </w:tcBorders>
          </w:tcPr>
          <w:p w:rsidR="007D73E2" w:rsidRDefault="007D73E2" w:rsidP="00F111D6">
            <w:pPr>
              <w:shd w:val="clear" w:color="auto" w:fill="FFFFFF"/>
              <w:spacing w:before="60"/>
              <w:jc w:val="both"/>
              <w:rPr>
                <w:color w:val="444444"/>
                <w:sz w:val="18"/>
                <w:szCs w:val="18"/>
              </w:rPr>
            </w:pPr>
          </w:p>
        </w:tc>
        <w:tc>
          <w:tcPr>
            <w:tcW w:w="900" w:type="dxa"/>
            <w:tcBorders>
              <w:top w:val="nil"/>
              <w:left w:val="single" w:sz="18" w:space="0" w:color="auto"/>
              <w:bottom w:val="single" w:sz="4" w:space="0" w:color="auto"/>
              <w:right w:val="single" w:sz="4" w:space="0" w:color="auto"/>
            </w:tcBorders>
          </w:tcPr>
          <w:p w:rsidR="007D73E2" w:rsidRDefault="00B9791F" w:rsidP="007D73E2">
            <w:pPr>
              <w:rPr>
                <w:sz w:val="18"/>
              </w:rPr>
            </w:pPr>
            <w:r w:rsidRPr="00B9791F">
              <w:rPr>
                <w:sz w:val="18"/>
              </w:rPr>
              <w:t>235/2004 ve znění 343/2020</w:t>
            </w:r>
          </w:p>
        </w:tc>
        <w:tc>
          <w:tcPr>
            <w:tcW w:w="1080" w:type="dxa"/>
            <w:tcBorders>
              <w:top w:val="nil"/>
              <w:left w:val="single" w:sz="4" w:space="0" w:color="auto"/>
              <w:bottom w:val="single" w:sz="4" w:space="0" w:color="auto"/>
              <w:right w:val="single" w:sz="4" w:space="0" w:color="auto"/>
            </w:tcBorders>
          </w:tcPr>
          <w:p w:rsidR="007D73E2" w:rsidRDefault="007D73E2" w:rsidP="00F111D6">
            <w:pPr>
              <w:rPr>
                <w:sz w:val="18"/>
              </w:rPr>
            </w:pPr>
            <w:r>
              <w:rPr>
                <w:sz w:val="18"/>
              </w:rPr>
              <w:t>§ 64 odst. 1 písm. a)</w:t>
            </w:r>
          </w:p>
        </w:tc>
        <w:tc>
          <w:tcPr>
            <w:tcW w:w="5400" w:type="dxa"/>
            <w:gridSpan w:val="4"/>
            <w:tcBorders>
              <w:top w:val="nil"/>
              <w:left w:val="single" w:sz="4" w:space="0" w:color="auto"/>
              <w:bottom w:val="single" w:sz="4" w:space="0" w:color="auto"/>
              <w:right w:val="single" w:sz="4" w:space="0" w:color="auto"/>
            </w:tcBorders>
          </w:tcPr>
          <w:p w:rsidR="007D73E2" w:rsidRDefault="007D73E2" w:rsidP="003B061A">
            <w:pPr>
              <w:spacing w:before="60"/>
              <w:jc w:val="both"/>
              <w:rPr>
                <w:sz w:val="18"/>
              </w:rPr>
            </w:pPr>
            <w:r>
              <w:rPr>
                <w:sz w:val="18"/>
              </w:rPr>
              <w:t>Dodání zboží do jiného členského státu plátcem osobě registrované k dani v jiném členském státě, pro kterou je pořízení tohoto zboží v jiném členském státě předmětem daně, je osvobozeno od daně s nárokem na odpočet daně, pokud</w:t>
            </w:r>
          </w:p>
          <w:p w:rsidR="007D73E2" w:rsidRDefault="007D73E2" w:rsidP="003B061A">
            <w:pPr>
              <w:spacing w:before="60"/>
              <w:jc w:val="both"/>
              <w:rPr>
                <w:sz w:val="18"/>
              </w:rPr>
            </w:pPr>
            <w:r>
              <w:rPr>
                <w:sz w:val="18"/>
              </w:rPr>
              <w:t>a) tato osoba sdělila plátci své daňové identifikační číslo pro účely daně z přidané hodnoty,</w:t>
            </w:r>
          </w:p>
        </w:tc>
        <w:tc>
          <w:tcPr>
            <w:tcW w:w="900" w:type="dxa"/>
            <w:tcBorders>
              <w:top w:val="nil"/>
              <w:left w:val="single" w:sz="4" w:space="0" w:color="auto"/>
              <w:bottom w:val="single" w:sz="4" w:space="0" w:color="auto"/>
              <w:right w:val="single" w:sz="4" w:space="0" w:color="auto"/>
            </w:tcBorders>
          </w:tcPr>
          <w:p w:rsidR="007D73E2" w:rsidRDefault="007D73E2" w:rsidP="00F111D6">
            <w:pPr>
              <w:jc w:val="center"/>
              <w:rPr>
                <w:sz w:val="18"/>
              </w:rPr>
            </w:pPr>
          </w:p>
        </w:tc>
        <w:tc>
          <w:tcPr>
            <w:tcW w:w="720" w:type="dxa"/>
            <w:tcBorders>
              <w:top w:val="nil"/>
              <w:left w:val="single" w:sz="4" w:space="0" w:color="auto"/>
              <w:bottom w:val="single" w:sz="4" w:space="0" w:color="auto"/>
              <w:right w:val="single" w:sz="4" w:space="0" w:color="auto"/>
            </w:tcBorders>
          </w:tcPr>
          <w:p w:rsidR="007D73E2" w:rsidRDefault="007D73E2" w:rsidP="00F111D6">
            <w:pPr>
              <w:rPr>
                <w:sz w:val="18"/>
              </w:rPr>
            </w:pPr>
          </w:p>
        </w:tc>
      </w:tr>
      <w:tr w:rsidR="00A21979" w:rsidTr="007D73E2">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5</w:t>
            </w:r>
          </w:p>
        </w:tc>
        <w:tc>
          <w:tcPr>
            <w:tcW w:w="5400" w:type="dxa"/>
            <w:gridSpan w:val="4"/>
            <w:tcBorders>
              <w:top w:val="single" w:sz="4" w:space="0" w:color="auto"/>
              <w:left w:val="single" w:sz="4" w:space="0" w:color="auto"/>
              <w:bottom w:val="nil"/>
              <w:right w:val="single" w:sz="18" w:space="0" w:color="auto"/>
            </w:tcBorders>
          </w:tcPr>
          <w:p w:rsidR="00A21979" w:rsidRDefault="00D759D1" w:rsidP="00D759D1">
            <w:pPr>
              <w:spacing w:before="60"/>
              <w:rPr>
                <w:sz w:val="18"/>
              </w:rPr>
            </w:pPr>
            <w:r>
              <w:rPr>
                <w:color w:val="444444"/>
                <w:sz w:val="18"/>
                <w:szCs w:val="18"/>
              </w:rPr>
              <w:t>Evropské hospodářské zájmové sdružení (EHZS) založené v souladu s nařízením (EHS) č. 2137/85, které dodává zboží nebo poskytuje služby za protiplnění svým členům nebo třetím stranám, je osobou povinnou k dani ve smyslu čl. 9 odst. 1 směrnice 2006/112/ES.</w:t>
            </w:r>
          </w:p>
        </w:tc>
        <w:tc>
          <w:tcPr>
            <w:tcW w:w="900" w:type="dxa"/>
            <w:tcBorders>
              <w:top w:val="single" w:sz="4" w:space="0" w:color="auto"/>
              <w:left w:val="single" w:sz="18" w:space="0" w:color="auto"/>
              <w:bottom w:val="nil"/>
              <w:right w:val="single" w:sz="4" w:space="0" w:color="auto"/>
            </w:tcBorders>
          </w:tcPr>
          <w:p w:rsidR="00A21979" w:rsidRDefault="00A21979">
            <w:pPr>
              <w:rPr>
                <w:sz w:val="18"/>
              </w:rPr>
            </w:pPr>
          </w:p>
        </w:tc>
        <w:tc>
          <w:tcPr>
            <w:tcW w:w="1080" w:type="dxa"/>
            <w:tcBorders>
              <w:top w:val="single" w:sz="4" w:space="0" w:color="auto"/>
              <w:left w:val="single" w:sz="4" w:space="0" w:color="auto"/>
              <w:bottom w:val="nil"/>
              <w:right w:val="single" w:sz="4" w:space="0" w:color="auto"/>
            </w:tcBorders>
          </w:tcPr>
          <w:p w:rsidR="00A21979" w:rsidRDefault="00A21979">
            <w:pPr>
              <w:rPr>
                <w:sz w:val="18"/>
              </w:rPr>
            </w:pPr>
          </w:p>
        </w:tc>
        <w:tc>
          <w:tcPr>
            <w:tcW w:w="5400" w:type="dxa"/>
            <w:gridSpan w:val="4"/>
            <w:tcBorders>
              <w:top w:val="single" w:sz="4" w:space="0" w:color="auto"/>
              <w:left w:val="single" w:sz="4" w:space="0" w:color="auto"/>
              <w:bottom w:val="nil"/>
              <w:right w:val="single" w:sz="4" w:space="0" w:color="auto"/>
            </w:tcBorders>
          </w:tcPr>
          <w:p w:rsidR="00A21979" w:rsidRDefault="005C5A7E" w:rsidP="003B061A">
            <w:pPr>
              <w:spacing w:before="6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1979" w:rsidRDefault="00A21979"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A21979">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6</w:t>
            </w:r>
          </w:p>
        </w:tc>
        <w:tc>
          <w:tcPr>
            <w:tcW w:w="5400" w:type="dxa"/>
            <w:gridSpan w:val="4"/>
            <w:tcBorders>
              <w:top w:val="single" w:sz="4" w:space="0" w:color="auto"/>
              <w:left w:val="single" w:sz="4" w:space="0" w:color="auto"/>
              <w:bottom w:val="nil"/>
              <w:right w:val="single" w:sz="18" w:space="0" w:color="auto"/>
            </w:tcBorders>
          </w:tcPr>
          <w:p w:rsidR="00D759D1" w:rsidRDefault="00D759D1" w:rsidP="00D759D1">
            <w:pPr>
              <w:shd w:val="clear" w:color="auto" w:fill="FFFFFF"/>
              <w:spacing w:before="60"/>
              <w:jc w:val="both"/>
              <w:rPr>
                <w:color w:val="444444"/>
                <w:sz w:val="18"/>
                <w:szCs w:val="18"/>
              </w:rPr>
            </w:pPr>
            <w:r>
              <w:rPr>
                <w:color w:val="444444"/>
                <w:sz w:val="18"/>
                <w:szCs w:val="18"/>
              </w:rPr>
              <w:t>1. Restauračními a cateringovými službami se rozumí služby spočívající v dodání připravených nebo nepřipravených jídel nebo nápojů či obojího určených pro lidskou spotřebu spolu s dostatečnými podpůrnými službami umožňujícími jejich okamžitou spotřebu. Dodání jídel nebo nápojů či obojího je pouze jednou složkou celku, v němž služby převažují. Restaurační služby jsou poskytnutím takových služeb v prostorách poskytovatele a cateringové služby jsou poskytnutím takových služeb mimo prostory poskytovatele.</w:t>
            </w:r>
          </w:p>
          <w:p w:rsidR="00A21979" w:rsidRPr="00D759D1" w:rsidRDefault="00D759D1" w:rsidP="00D759D1">
            <w:pPr>
              <w:shd w:val="clear" w:color="auto" w:fill="FFFFFF"/>
              <w:spacing w:before="60"/>
              <w:jc w:val="both"/>
              <w:rPr>
                <w:color w:val="444444"/>
                <w:sz w:val="18"/>
                <w:szCs w:val="18"/>
              </w:rPr>
            </w:pPr>
            <w:r>
              <w:rPr>
                <w:color w:val="444444"/>
                <w:sz w:val="18"/>
                <w:szCs w:val="18"/>
              </w:rPr>
              <w:t>2. Za restaurační ani cateringovou službu ve smyslu odstavce 1 se nepovažuje dodání připravených nebo nepřipravených jídel nebo nápojů či obojího, bez ohledu na to, zda s přepravou, či bez ní, které však nezahrnuje žádné další podpůrné služby.</w:t>
            </w:r>
          </w:p>
        </w:tc>
        <w:tc>
          <w:tcPr>
            <w:tcW w:w="900" w:type="dxa"/>
            <w:tcBorders>
              <w:top w:val="single" w:sz="4" w:space="0" w:color="auto"/>
              <w:left w:val="single" w:sz="18" w:space="0" w:color="auto"/>
              <w:bottom w:val="nil"/>
              <w:right w:val="single" w:sz="4" w:space="0" w:color="auto"/>
            </w:tcBorders>
          </w:tcPr>
          <w:p w:rsidR="00A21979" w:rsidRDefault="00A21979">
            <w:pPr>
              <w:rPr>
                <w:sz w:val="18"/>
              </w:rPr>
            </w:pPr>
          </w:p>
        </w:tc>
        <w:tc>
          <w:tcPr>
            <w:tcW w:w="1080" w:type="dxa"/>
            <w:tcBorders>
              <w:top w:val="single" w:sz="4" w:space="0" w:color="auto"/>
              <w:left w:val="single" w:sz="4" w:space="0" w:color="auto"/>
              <w:bottom w:val="nil"/>
              <w:right w:val="single" w:sz="4" w:space="0" w:color="auto"/>
            </w:tcBorders>
          </w:tcPr>
          <w:p w:rsidR="00A21979" w:rsidRDefault="00A21979">
            <w:pPr>
              <w:rPr>
                <w:sz w:val="18"/>
              </w:rPr>
            </w:pPr>
          </w:p>
        </w:tc>
        <w:tc>
          <w:tcPr>
            <w:tcW w:w="5400" w:type="dxa"/>
            <w:gridSpan w:val="4"/>
            <w:tcBorders>
              <w:top w:val="single" w:sz="4" w:space="0" w:color="auto"/>
              <w:left w:val="single" w:sz="4" w:space="0" w:color="auto"/>
              <w:bottom w:val="nil"/>
              <w:right w:val="single" w:sz="4" w:space="0" w:color="auto"/>
            </w:tcBorders>
          </w:tcPr>
          <w:p w:rsidR="00A21979" w:rsidRDefault="005C5A7E" w:rsidP="003B061A">
            <w:pPr>
              <w:spacing w:before="6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1979" w:rsidRDefault="00A21979"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A21979">
        <w:tc>
          <w:tcPr>
            <w:tcW w:w="1440" w:type="dxa"/>
            <w:tcBorders>
              <w:top w:val="single" w:sz="4" w:space="0" w:color="auto"/>
              <w:left w:val="single" w:sz="4" w:space="0" w:color="auto"/>
              <w:bottom w:val="nil"/>
              <w:right w:val="single" w:sz="4" w:space="0" w:color="auto"/>
            </w:tcBorders>
          </w:tcPr>
          <w:p w:rsidR="00A21979" w:rsidRDefault="00D759D1" w:rsidP="00F17B7C">
            <w:pPr>
              <w:spacing w:before="60"/>
            </w:pPr>
            <w:r>
              <w:rPr>
                <w:sz w:val="18"/>
              </w:rPr>
              <w:t>Článek </w:t>
            </w:r>
            <w:r w:rsidR="00AA0D39">
              <w:rPr>
                <w:sz w:val="18"/>
              </w:rPr>
              <w:t>7</w:t>
            </w:r>
            <w:r w:rsidR="00F17B7C">
              <w:rPr>
                <w:sz w:val="18"/>
              </w:rPr>
              <w:t xml:space="preserve"> odst. 1 a 2</w:t>
            </w:r>
          </w:p>
        </w:tc>
        <w:tc>
          <w:tcPr>
            <w:tcW w:w="5400" w:type="dxa"/>
            <w:gridSpan w:val="4"/>
            <w:tcBorders>
              <w:top w:val="single" w:sz="4" w:space="0" w:color="auto"/>
              <w:left w:val="single" w:sz="4" w:space="0" w:color="auto"/>
              <w:bottom w:val="nil"/>
              <w:right w:val="single" w:sz="18" w:space="0" w:color="auto"/>
            </w:tcBorders>
          </w:tcPr>
          <w:p w:rsidR="00AA0D39" w:rsidRPr="00AA0D39" w:rsidRDefault="00AA0D39" w:rsidP="00AA0D39">
            <w:pPr>
              <w:shd w:val="clear" w:color="auto" w:fill="FFFFFF"/>
              <w:spacing w:before="60"/>
              <w:jc w:val="both"/>
              <w:rPr>
                <w:color w:val="444444"/>
                <w:sz w:val="18"/>
                <w:szCs w:val="18"/>
              </w:rPr>
            </w:pPr>
            <w:r w:rsidRPr="00AA0D39">
              <w:rPr>
                <w:color w:val="444444"/>
                <w:sz w:val="18"/>
                <w:szCs w:val="18"/>
              </w:rPr>
              <w:t>1. „Elektronicky poskytované služby“ uvedené ve směrnici 2006/112/ES zahrnují služby, které jsou poskytovány přes Internet nebo elektronickou síť a z jejichž povahy vyplývá, že jejich poskytování je v podstatě automatizované a vyžaduje minimální lidský zásah, a nejsou uskutečnitelné bez informačních technologií.</w:t>
            </w:r>
          </w:p>
          <w:p w:rsidR="00AA0D39" w:rsidRPr="00AA0D39" w:rsidRDefault="00AA0D39" w:rsidP="00AA0D39">
            <w:pPr>
              <w:shd w:val="clear" w:color="auto" w:fill="FFFFFF"/>
              <w:spacing w:before="60"/>
              <w:jc w:val="both"/>
              <w:rPr>
                <w:color w:val="444444"/>
                <w:sz w:val="18"/>
                <w:szCs w:val="18"/>
              </w:rPr>
            </w:pPr>
            <w:r w:rsidRPr="00AA0D39">
              <w:rPr>
                <w:color w:val="444444"/>
                <w:sz w:val="18"/>
                <w:szCs w:val="18"/>
              </w:rPr>
              <w:t>2. Odstavec 1 se vztahuje zejména na tyto případy:</w:t>
            </w:r>
          </w:p>
          <w:p w:rsidR="00AA0D39" w:rsidRPr="00AA0D39" w:rsidRDefault="00AA0D39" w:rsidP="00D34027">
            <w:pPr>
              <w:jc w:val="both"/>
              <w:rPr>
                <w:color w:val="444444"/>
                <w:sz w:val="18"/>
                <w:szCs w:val="18"/>
              </w:rPr>
            </w:pPr>
            <w:r w:rsidRPr="00AA0D39">
              <w:rPr>
                <w:color w:val="444444"/>
                <w:sz w:val="18"/>
                <w:szCs w:val="18"/>
              </w:rPr>
              <w:t>a) poskytování digitalizovaných produktů obecně, včetně programového vybavení a jeho změn nebo aktualizací;</w:t>
            </w:r>
          </w:p>
          <w:p w:rsidR="00AA0D39" w:rsidRPr="00AA0D39" w:rsidRDefault="00AA0D39" w:rsidP="00D34027">
            <w:pPr>
              <w:jc w:val="both"/>
              <w:rPr>
                <w:color w:val="444444"/>
                <w:sz w:val="18"/>
                <w:szCs w:val="18"/>
              </w:rPr>
            </w:pPr>
            <w:r w:rsidRPr="00AA0D39">
              <w:rPr>
                <w:color w:val="444444"/>
                <w:sz w:val="18"/>
                <w:szCs w:val="18"/>
              </w:rPr>
              <w:t>b) služby poskytování nebo podpory obchodní nebo osobní prezentace na elektronické síti, jako je například internetová stránka;</w:t>
            </w:r>
          </w:p>
          <w:p w:rsidR="00AA0D39" w:rsidRPr="00AA0D39" w:rsidRDefault="00AA0D39" w:rsidP="00D34027">
            <w:pPr>
              <w:jc w:val="both"/>
              <w:rPr>
                <w:color w:val="444444"/>
                <w:sz w:val="18"/>
                <w:szCs w:val="18"/>
              </w:rPr>
            </w:pPr>
            <w:r w:rsidRPr="00AA0D39">
              <w:rPr>
                <w:color w:val="444444"/>
                <w:sz w:val="18"/>
                <w:szCs w:val="18"/>
              </w:rPr>
              <w:t>c) služby automaticky generované z počítače přes internet nebo elektronickou síť v reakci na zadání konkrétních dat příjemcem;</w:t>
            </w:r>
          </w:p>
          <w:p w:rsidR="00AA0D39" w:rsidRPr="00AA0D39" w:rsidRDefault="00AA0D39" w:rsidP="00D34027">
            <w:pPr>
              <w:jc w:val="both"/>
              <w:rPr>
                <w:color w:val="444444"/>
                <w:sz w:val="18"/>
                <w:szCs w:val="18"/>
              </w:rPr>
            </w:pPr>
            <w:r w:rsidRPr="00AA0D39">
              <w:rPr>
                <w:color w:val="444444"/>
                <w:sz w:val="18"/>
                <w:szCs w:val="18"/>
              </w:rPr>
              <w:t>d) úplatný převod práva dát do prodeje zboží nebo službu na internetové stránce fungující jako trh online, kde potenciální kupující podávají nabídky automatizovaným postupem a kde jsou strany informovány o uskutečnění prodeje elektronickou poštou automaticky generovanou počítačem;</w:t>
            </w:r>
          </w:p>
          <w:p w:rsidR="00AA0D39" w:rsidRPr="00AA0D39" w:rsidRDefault="00AA0D39" w:rsidP="00D34027">
            <w:pPr>
              <w:jc w:val="both"/>
              <w:rPr>
                <w:color w:val="444444"/>
                <w:sz w:val="18"/>
                <w:szCs w:val="18"/>
              </w:rPr>
            </w:pPr>
            <w:r w:rsidRPr="00AA0D39">
              <w:rPr>
                <w:color w:val="444444"/>
                <w:sz w:val="18"/>
                <w:szCs w:val="18"/>
              </w:rPr>
              <w:t>e) internetové balíčky služeb, v nichž tvoří telekomunikační složka doplňkovou a podřízenou část (tj. balíčky, které jdou nad rámec pouhého přístupu k internetu a které zahrnují jiné složky, jako například obsahové stránky umožňující přístup k aktualitám, zprávám o počasí, turistickým informacím, prostor pro hry, web-site hosting, přístup k diskusím online atd.);</w:t>
            </w:r>
          </w:p>
          <w:p w:rsidR="00A21979" w:rsidRPr="002A50DB" w:rsidRDefault="00AA0D39" w:rsidP="00D34027">
            <w:pPr>
              <w:jc w:val="both"/>
              <w:rPr>
                <w:color w:val="444444"/>
                <w:sz w:val="18"/>
                <w:szCs w:val="18"/>
              </w:rPr>
            </w:pPr>
            <w:r w:rsidRPr="00AA0D39">
              <w:rPr>
                <w:color w:val="444444"/>
                <w:sz w:val="18"/>
                <w:szCs w:val="18"/>
              </w:rPr>
              <w:t>f) služby uvedené v příloze I.</w:t>
            </w:r>
          </w:p>
        </w:tc>
        <w:tc>
          <w:tcPr>
            <w:tcW w:w="900" w:type="dxa"/>
            <w:tcBorders>
              <w:top w:val="single" w:sz="4" w:space="0" w:color="auto"/>
              <w:left w:val="single" w:sz="18" w:space="0" w:color="auto"/>
              <w:bottom w:val="nil"/>
              <w:right w:val="single" w:sz="4" w:space="0" w:color="auto"/>
            </w:tcBorders>
          </w:tcPr>
          <w:p w:rsidR="00A21979" w:rsidRDefault="00A21979">
            <w:pPr>
              <w:rPr>
                <w:sz w:val="18"/>
              </w:rPr>
            </w:pPr>
          </w:p>
        </w:tc>
        <w:tc>
          <w:tcPr>
            <w:tcW w:w="1080" w:type="dxa"/>
            <w:tcBorders>
              <w:top w:val="single" w:sz="4" w:space="0" w:color="auto"/>
              <w:left w:val="single" w:sz="4" w:space="0" w:color="auto"/>
              <w:bottom w:val="nil"/>
              <w:right w:val="single" w:sz="4" w:space="0" w:color="auto"/>
            </w:tcBorders>
          </w:tcPr>
          <w:p w:rsidR="00A21979" w:rsidRDefault="00A21979">
            <w:pPr>
              <w:rPr>
                <w:sz w:val="18"/>
              </w:rPr>
            </w:pPr>
          </w:p>
        </w:tc>
        <w:tc>
          <w:tcPr>
            <w:tcW w:w="5400" w:type="dxa"/>
            <w:gridSpan w:val="4"/>
            <w:tcBorders>
              <w:top w:val="single" w:sz="4" w:space="0" w:color="auto"/>
              <w:left w:val="single" w:sz="4" w:space="0" w:color="auto"/>
              <w:bottom w:val="nil"/>
              <w:right w:val="single" w:sz="4" w:space="0" w:color="auto"/>
            </w:tcBorders>
          </w:tcPr>
          <w:p w:rsidR="00A21979" w:rsidRPr="00294E5D" w:rsidRDefault="00DB5127" w:rsidP="003B061A">
            <w:pPr>
              <w:spacing w:before="60"/>
              <w:jc w:val="both"/>
              <w:rPr>
                <w:sz w:val="18"/>
              </w:rPr>
            </w:pPr>
            <w:r>
              <w:rPr>
                <w:i/>
                <w:sz w:val="18"/>
              </w:rPr>
              <w:t>Nerelevantní z hlediska adaptace. Ustanovení má výkladový charakter pro specifické případy a je přímo účinné.</w:t>
            </w:r>
          </w:p>
        </w:tc>
        <w:tc>
          <w:tcPr>
            <w:tcW w:w="900" w:type="dxa"/>
            <w:tcBorders>
              <w:top w:val="single" w:sz="4" w:space="0" w:color="auto"/>
              <w:left w:val="single" w:sz="4" w:space="0" w:color="auto"/>
              <w:bottom w:val="nil"/>
              <w:right w:val="single" w:sz="4" w:space="0" w:color="auto"/>
            </w:tcBorders>
          </w:tcPr>
          <w:p w:rsidR="00A21979" w:rsidRDefault="00A21979"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F17B7C">
        <w:tc>
          <w:tcPr>
            <w:tcW w:w="1440" w:type="dxa"/>
            <w:tcBorders>
              <w:top w:val="single" w:sz="4" w:space="0" w:color="auto"/>
              <w:left w:val="single" w:sz="4" w:space="0" w:color="auto"/>
              <w:bottom w:val="nil"/>
              <w:right w:val="single" w:sz="4" w:space="0" w:color="auto"/>
            </w:tcBorders>
          </w:tcPr>
          <w:p w:rsidR="00F17B7C" w:rsidRDefault="00F17B7C" w:rsidP="00C24BA2">
            <w:pPr>
              <w:spacing w:before="60"/>
            </w:pPr>
            <w:r>
              <w:rPr>
                <w:sz w:val="18"/>
              </w:rPr>
              <w:t>Článek 7 odst. 3 písm. a) až p)</w:t>
            </w:r>
          </w:p>
        </w:tc>
        <w:tc>
          <w:tcPr>
            <w:tcW w:w="5400" w:type="dxa"/>
            <w:gridSpan w:val="4"/>
            <w:tcBorders>
              <w:top w:val="single" w:sz="4" w:space="0" w:color="auto"/>
              <w:left w:val="single" w:sz="4" w:space="0" w:color="auto"/>
              <w:bottom w:val="nil"/>
              <w:right w:val="single" w:sz="18" w:space="0" w:color="auto"/>
            </w:tcBorders>
          </w:tcPr>
          <w:p w:rsidR="00F17B7C" w:rsidRPr="00AA0D39" w:rsidRDefault="00F018D6" w:rsidP="00C24BA2">
            <w:pPr>
              <w:shd w:val="clear" w:color="auto" w:fill="FFFFFF"/>
              <w:spacing w:before="60"/>
              <w:jc w:val="both"/>
              <w:rPr>
                <w:color w:val="444444"/>
                <w:sz w:val="18"/>
                <w:szCs w:val="18"/>
              </w:rPr>
            </w:pPr>
            <w:r>
              <w:rPr>
                <w:color w:val="444444"/>
                <w:sz w:val="18"/>
                <w:szCs w:val="18"/>
              </w:rPr>
              <w:t>3. </w:t>
            </w:r>
            <w:r w:rsidR="00F17B7C" w:rsidRPr="00AA0D39">
              <w:rPr>
                <w:color w:val="444444"/>
                <w:sz w:val="18"/>
                <w:szCs w:val="18"/>
              </w:rPr>
              <w:t xml:space="preserve">Odstavec 1 se nevztahuje </w:t>
            </w:r>
            <w:r w:rsidR="00F17B7C" w:rsidRPr="00F17B7C">
              <w:rPr>
                <w:strike/>
                <w:color w:val="444444"/>
                <w:sz w:val="18"/>
                <w:szCs w:val="18"/>
              </w:rPr>
              <w:t>zejména</w:t>
            </w:r>
            <w:r w:rsidR="00F17B7C" w:rsidRPr="00AA0D39">
              <w:rPr>
                <w:color w:val="444444"/>
                <w:sz w:val="18"/>
                <w:szCs w:val="18"/>
              </w:rPr>
              <w:t xml:space="preserve"> na tyto případy:</w:t>
            </w:r>
          </w:p>
          <w:p w:rsidR="00F17B7C" w:rsidRPr="00AA0D39" w:rsidRDefault="00F17B7C" w:rsidP="00D34027">
            <w:pPr>
              <w:jc w:val="both"/>
              <w:rPr>
                <w:color w:val="444444"/>
                <w:sz w:val="18"/>
                <w:szCs w:val="18"/>
              </w:rPr>
            </w:pPr>
            <w:r w:rsidRPr="00AA0D39">
              <w:rPr>
                <w:color w:val="444444"/>
                <w:sz w:val="18"/>
                <w:szCs w:val="18"/>
              </w:rPr>
              <w:t>a) služby rozhlasového a televizního vysílání;</w:t>
            </w:r>
          </w:p>
          <w:p w:rsidR="00F17B7C" w:rsidRPr="00AA0D39" w:rsidRDefault="00F17B7C" w:rsidP="00D34027">
            <w:pPr>
              <w:jc w:val="both"/>
              <w:rPr>
                <w:color w:val="444444"/>
                <w:sz w:val="18"/>
                <w:szCs w:val="18"/>
              </w:rPr>
            </w:pPr>
            <w:r w:rsidRPr="00AA0D39">
              <w:rPr>
                <w:color w:val="444444"/>
                <w:sz w:val="18"/>
                <w:szCs w:val="18"/>
              </w:rPr>
              <w:t>b) telekomunikační služby;</w:t>
            </w:r>
          </w:p>
          <w:p w:rsidR="00F17B7C" w:rsidRPr="00AA0D39" w:rsidRDefault="00F17B7C" w:rsidP="00D34027">
            <w:pPr>
              <w:jc w:val="both"/>
              <w:rPr>
                <w:color w:val="444444"/>
                <w:sz w:val="18"/>
                <w:szCs w:val="18"/>
              </w:rPr>
            </w:pPr>
            <w:r w:rsidRPr="00AA0D39">
              <w:rPr>
                <w:color w:val="444444"/>
                <w:sz w:val="18"/>
                <w:szCs w:val="18"/>
              </w:rPr>
              <w:t>c) zboží, je-li objednávka a její zpracování provedeno elektronicky;</w:t>
            </w:r>
          </w:p>
          <w:p w:rsidR="00F17B7C" w:rsidRPr="00AA0D39" w:rsidRDefault="00F17B7C" w:rsidP="00D34027">
            <w:pPr>
              <w:jc w:val="both"/>
              <w:rPr>
                <w:color w:val="444444"/>
                <w:sz w:val="18"/>
                <w:szCs w:val="18"/>
              </w:rPr>
            </w:pPr>
            <w:r w:rsidRPr="00AA0D39">
              <w:rPr>
                <w:color w:val="444444"/>
                <w:sz w:val="18"/>
                <w:szCs w:val="18"/>
              </w:rPr>
              <w:t>d) disky CD-ROM, diskety a podobné hmotné nosiče;</w:t>
            </w:r>
          </w:p>
          <w:p w:rsidR="00F17B7C" w:rsidRPr="00AA0D39" w:rsidRDefault="00F17B7C" w:rsidP="00D34027">
            <w:pPr>
              <w:jc w:val="both"/>
              <w:rPr>
                <w:color w:val="444444"/>
                <w:sz w:val="18"/>
                <w:szCs w:val="18"/>
              </w:rPr>
            </w:pPr>
            <w:r w:rsidRPr="00AA0D39">
              <w:rPr>
                <w:color w:val="444444"/>
                <w:sz w:val="18"/>
                <w:szCs w:val="18"/>
              </w:rPr>
              <w:t>e) tiskoviny, jako jsou knihy, informační zpravodaje, noviny nebo časopisy;</w:t>
            </w:r>
          </w:p>
          <w:p w:rsidR="00F17B7C" w:rsidRPr="00AA0D39" w:rsidRDefault="00F17B7C" w:rsidP="00D34027">
            <w:pPr>
              <w:jc w:val="both"/>
              <w:rPr>
                <w:color w:val="444444"/>
                <w:sz w:val="18"/>
                <w:szCs w:val="18"/>
              </w:rPr>
            </w:pPr>
            <w:r w:rsidRPr="00AA0D39">
              <w:rPr>
                <w:color w:val="444444"/>
                <w:sz w:val="18"/>
                <w:szCs w:val="18"/>
              </w:rPr>
              <w:t>f) CD a audiokazety;</w:t>
            </w:r>
          </w:p>
          <w:p w:rsidR="00F17B7C" w:rsidRPr="00AA0D39" w:rsidRDefault="00F17B7C" w:rsidP="00D34027">
            <w:pPr>
              <w:jc w:val="both"/>
              <w:rPr>
                <w:color w:val="444444"/>
                <w:sz w:val="18"/>
                <w:szCs w:val="18"/>
              </w:rPr>
            </w:pPr>
            <w:r w:rsidRPr="00AA0D39">
              <w:rPr>
                <w:color w:val="444444"/>
                <w:sz w:val="18"/>
                <w:szCs w:val="18"/>
              </w:rPr>
              <w:t>g) videokazety a DVD;</w:t>
            </w:r>
          </w:p>
          <w:p w:rsidR="00F17B7C" w:rsidRPr="00AA0D39" w:rsidRDefault="00F17B7C" w:rsidP="00D34027">
            <w:pPr>
              <w:jc w:val="both"/>
              <w:rPr>
                <w:color w:val="444444"/>
                <w:sz w:val="18"/>
                <w:szCs w:val="18"/>
              </w:rPr>
            </w:pPr>
            <w:r w:rsidRPr="00AA0D39">
              <w:rPr>
                <w:color w:val="444444"/>
                <w:sz w:val="18"/>
                <w:szCs w:val="18"/>
              </w:rPr>
              <w:t>h) hry na discích CD-ROM;</w:t>
            </w:r>
          </w:p>
          <w:p w:rsidR="00F17B7C" w:rsidRPr="00AA0D39" w:rsidRDefault="00F17B7C" w:rsidP="00D34027">
            <w:pPr>
              <w:jc w:val="both"/>
              <w:rPr>
                <w:color w:val="444444"/>
                <w:sz w:val="18"/>
                <w:szCs w:val="18"/>
              </w:rPr>
            </w:pPr>
            <w:r w:rsidRPr="00AA0D39">
              <w:rPr>
                <w:color w:val="444444"/>
                <w:sz w:val="18"/>
                <w:szCs w:val="18"/>
              </w:rPr>
              <w:t>i) služby odborníků, jako jsou právníci a finanční poradci, kteří radí svým klientům elektronickou poštou;</w:t>
            </w:r>
          </w:p>
          <w:p w:rsidR="00F17B7C" w:rsidRPr="00AA0D39" w:rsidRDefault="00F17B7C" w:rsidP="00D34027">
            <w:pPr>
              <w:jc w:val="both"/>
              <w:rPr>
                <w:color w:val="444444"/>
                <w:sz w:val="18"/>
                <w:szCs w:val="18"/>
              </w:rPr>
            </w:pPr>
            <w:r w:rsidRPr="00AA0D39">
              <w:rPr>
                <w:color w:val="444444"/>
                <w:sz w:val="18"/>
                <w:szCs w:val="18"/>
              </w:rPr>
              <w:t>j) vzdělávací služby, je-li obsah kurzů dodáván učitelem přes Internet nebo elektronickou síť, tj. přes dálkové spojení;</w:t>
            </w:r>
          </w:p>
          <w:p w:rsidR="00F17B7C" w:rsidRPr="00AA0D39" w:rsidRDefault="00F17B7C" w:rsidP="00D34027">
            <w:pPr>
              <w:jc w:val="both"/>
              <w:rPr>
                <w:color w:val="444444"/>
                <w:sz w:val="18"/>
                <w:szCs w:val="18"/>
              </w:rPr>
            </w:pPr>
            <w:r w:rsidRPr="00AA0D39">
              <w:rPr>
                <w:color w:val="444444"/>
                <w:sz w:val="18"/>
                <w:szCs w:val="18"/>
              </w:rPr>
              <w:t>k) offline služby spočívající ve fyzické opravě počítačového vybavení;</w:t>
            </w:r>
          </w:p>
          <w:p w:rsidR="00F17B7C" w:rsidRPr="00AA0D39" w:rsidRDefault="00F17B7C" w:rsidP="00D34027">
            <w:pPr>
              <w:jc w:val="both"/>
              <w:rPr>
                <w:color w:val="444444"/>
                <w:sz w:val="18"/>
                <w:szCs w:val="18"/>
              </w:rPr>
            </w:pPr>
            <w:r w:rsidRPr="00AA0D39">
              <w:rPr>
                <w:color w:val="444444"/>
                <w:sz w:val="18"/>
                <w:szCs w:val="18"/>
              </w:rPr>
              <w:t>l) offline služby uchovávání dat;</w:t>
            </w:r>
          </w:p>
          <w:p w:rsidR="00F17B7C" w:rsidRPr="00AA0D39" w:rsidRDefault="00F17B7C" w:rsidP="00D34027">
            <w:pPr>
              <w:jc w:val="both"/>
              <w:rPr>
                <w:color w:val="444444"/>
                <w:sz w:val="18"/>
                <w:szCs w:val="18"/>
              </w:rPr>
            </w:pPr>
            <w:r w:rsidRPr="00AA0D39">
              <w:rPr>
                <w:color w:val="444444"/>
                <w:sz w:val="18"/>
                <w:szCs w:val="18"/>
              </w:rPr>
              <w:t>m) reklamní služby, zejména v novinách, na plakátech nebo v televizi;</w:t>
            </w:r>
          </w:p>
          <w:p w:rsidR="00F17B7C" w:rsidRPr="00AA0D39" w:rsidRDefault="00F17B7C" w:rsidP="00D34027">
            <w:pPr>
              <w:jc w:val="both"/>
              <w:rPr>
                <w:color w:val="444444"/>
                <w:sz w:val="18"/>
                <w:szCs w:val="18"/>
              </w:rPr>
            </w:pPr>
            <w:r w:rsidRPr="00AA0D39">
              <w:rPr>
                <w:color w:val="444444"/>
                <w:sz w:val="18"/>
                <w:szCs w:val="18"/>
              </w:rPr>
              <w:t>n) služby telefonní podpory;</w:t>
            </w:r>
          </w:p>
          <w:p w:rsidR="00F17B7C" w:rsidRPr="00AA0D39" w:rsidRDefault="00F17B7C" w:rsidP="00D34027">
            <w:pPr>
              <w:jc w:val="both"/>
              <w:rPr>
                <w:color w:val="444444"/>
                <w:sz w:val="18"/>
                <w:szCs w:val="18"/>
              </w:rPr>
            </w:pPr>
            <w:r w:rsidRPr="00AA0D39">
              <w:rPr>
                <w:color w:val="444444"/>
                <w:sz w:val="18"/>
                <w:szCs w:val="18"/>
              </w:rPr>
              <w:t>o) vzdělávací služby zahrnující výhradně korespondenční kurzy, jako jsou poštovní kurzy;</w:t>
            </w:r>
          </w:p>
          <w:p w:rsidR="00F17B7C" w:rsidRPr="002A50DB" w:rsidRDefault="00F17B7C" w:rsidP="00D34027">
            <w:pPr>
              <w:jc w:val="both"/>
              <w:rPr>
                <w:color w:val="444444"/>
                <w:sz w:val="18"/>
                <w:szCs w:val="18"/>
              </w:rPr>
            </w:pPr>
            <w:r w:rsidRPr="00AA0D39">
              <w:rPr>
                <w:color w:val="444444"/>
                <w:sz w:val="18"/>
                <w:szCs w:val="18"/>
              </w:rPr>
              <w:t>p) klasické aukční služby závisející na přímém lidském zásahu bez ohledu na to, jakým způsobem jsou podávány nabídky;</w:t>
            </w:r>
          </w:p>
        </w:tc>
        <w:tc>
          <w:tcPr>
            <w:tcW w:w="900" w:type="dxa"/>
            <w:tcBorders>
              <w:top w:val="single" w:sz="4" w:space="0" w:color="auto"/>
              <w:left w:val="single" w:sz="18" w:space="0" w:color="auto"/>
              <w:bottom w:val="nil"/>
              <w:right w:val="single" w:sz="4" w:space="0" w:color="auto"/>
            </w:tcBorders>
          </w:tcPr>
          <w:p w:rsidR="00F17B7C" w:rsidRDefault="00F17B7C" w:rsidP="00C24BA2">
            <w:pPr>
              <w:rPr>
                <w:sz w:val="18"/>
              </w:rPr>
            </w:pPr>
          </w:p>
        </w:tc>
        <w:tc>
          <w:tcPr>
            <w:tcW w:w="1080" w:type="dxa"/>
            <w:tcBorders>
              <w:top w:val="single" w:sz="4" w:space="0" w:color="auto"/>
              <w:left w:val="single" w:sz="4" w:space="0" w:color="auto"/>
              <w:bottom w:val="nil"/>
              <w:right w:val="single" w:sz="4" w:space="0" w:color="auto"/>
            </w:tcBorders>
          </w:tcPr>
          <w:p w:rsidR="00F17B7C" w:rsidRDefault="00F17B7C" w:rsidP="00C24BA2">
            <w:pPr>
              <w:rPr>
                <w:sz w:val="18"/>
              </w:rPr>
            </w:pPr>
          </w:p>
        </w:tc>
        <w:tc>
          <w:tcPr>
            <w:tcW w:w="5400" w:type="dxa"/>
            <w:gridSpan w:val="4"/>
            <w:tcBorders>
              <w:top w:val="single" w:sz="4" w:space="0" w:color="auto"/>
              <w:left w:val="single" w:sz="4" w:space="0" w:color="auto"/>
              <w:bottom w:val="nil"/>
              <w:right w:val="single" w:sz="4" w:space="0" w:color="auto"/>
            </w:tcBorders>
          </w:tcPr>
          <w:p w:rsidR="00F17B7C" w:rsidRPr="00294E5D" w:rsidRDefault="00F17B7C" w:rsidP="003B061A">
            <w:pPr>
              <w:spacing w:before="60"/>
              <w:jc w:val="both"/>
              <w:rPr>
                <w:sz w:val="18"/>
              </w:rPr>
            </w:pPr>
            <w:r>
              <w:rPr>
                <w:i/>
                <w:sz w:val="18"/>
              </w:rPr>
              <w:t>Nerelevantní z hlediska adaptace. Ustanovení má výkladový charakter pro specifické případy a je přímo účinné.</w:t>
            </w:r>
            <w:r w:rsidR="00BB4735">
              <w:rPr>
                <w:i/>
                <w:sz w:val="18"/>
              </w:rPr>
              <w:t xml:space="preserve"> </w:t>
            </w:r>
            <w:r w:rsidR="00452CA2">
              <w:rPr>
                <w:i/>
                <w:sz w:val="18"/>
              </w:rPr>
              <w:t>B</w:t>
            </w:r>
            <w:r w:rsidR="00452CA2" w:rsidRPr="00452CA2">
              <w:rPr>
                <w:i/>
                <w:sz w:val="18"/>
              </w:rPr>
              <w:t>ylo změněno prováděcím nařízením č. 1042/2013.</w:t>
            </w:r>
          </w:p>
        </w:tc>
        <w:tc>
          <w:tcPr>
            <w:tcW w:w="900" w:type="dxa"/>
            <w:tcBorders>
              <w:top w:val="single" w:sz="4" w:space="0" w:color="auto"/>
              <w:left w:val="single" w:sz="4" w:space="0" w:color="auto"/>
              <w:bottom w:val="nil"/>
              <w:right w:val="single" w:sz="4" w:space="0" w:color="auto"/>
            </w:tcBorders>
          </w:tcPr>
          <w:p w:rsidR="00F17B7C" w:rsidRDefault="00F17B7C"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F17B7C" w:rsidRDefault="00F17B7C">
            <w:pPr>
              <w:rPr>
                <w:sz w:val="18"/>
              </w:rPr>
            </w:pPr>
          </w:p>
        </w:tc>
      </w:tr>
      <w:tr w:rsidR="00F17B7C">
        <w:tc>
          <w:tcPr>
            <w:tcW w:w="1440" w:type="dxa"/>
            <w:tcBorders>
              <w:top w:val="single" w:sz="4" w:space="0" w:color="auto"/>
              <w:left w:val="single" w:sz="4" w:space="0" w:color="auto"/>
              <w:bottom w:val="nil"/>
              <w:right w:val="single" w:sz="4" w:space="0" w:color="auto"/>
            </w:tcBorders>
          </w:tcPr>
          <w:p w:rsidR="00F17B7C" w:rsidRDefault="00F17B7C">
            <w:r w:rsidRPr="00D91E7C">
              <w:rPr>
                <w:sz w:val="18"/>
              </w:rPr>
              <w:t>Článek 7 odst. 3 písm. </w:t>
            </w:r>
            <w:r>
              <w:rPr>
                <w:sz w:val="18"/>
              </w:rPr>
              <w:t>q</w:t>
            </w:r>
            <w:r w:rsidRPr="00D91E7C">
              <w:rPr>
                <w:sz w:val="18"/>
              </w:rPr>
              <w:t xml:space="preserve">) až </w:t>
            </w:r>
            <w:r>
              <w:rPr>
                <w:sz w:val="18"/>
              </w:rPr>
              <w:t>s</w:t>
            </w:r>
            <w:r w:rsidRPr="00D91E7C">
              <w:rPr>
                <w:sz w:val="18"/>
              </w:rPr>
              <w:t>)</w:t>
            </w:r>
          </w:p>
        </w:tc>
        <w:tc>
          <w:tcPr>
            <w:tcW w:w="5400" w:type="dxa"/>
            <w:gridSpan w:val="4"/>
            <w:tcBorders>
              <w:top w:val="single" w:sz="4" w:space="0" w:color="auto"/>
              <w:left w:val="single" w:sz="4" w:space="0" w:color="auto"/>
              <w:bottom w:val="nil"/>
              <w:right w:val="single" w:sz="18" w:space="0" w:color="auto"/>
            </w:tcBorders>
          </w:tcPr>
          <w:p w:rsidR="00F018D6" w:rsidRDefault="00F018D6" w:rsidP="00F17B7C">
            <w:pPr>
              <w:spacing w:before="60"/>
              <w:jc w:val="both"/>
              <w:rPr>
                <w:color w:val="444444"/>
                <w:sz w:val="18"/>
                <w:szCs w:val="18"/>
              </w:rPr>
            </w:pPr>
            <w:r w:rsidRPr="00AA0D39">
              <w:rPr>
                <w:color w:val="444444"/>
                <w:sz w:val="18"/>
                <w:szCs w:val="18"/>
              </w:rPr>
              <w:t>3. Odstavec 1 se nevztahuje na tyto případy:</w:t>
            </w:r>
          </w:p>
          <w:p w:rsidR="00F17B7C" w:rsidRPr="00F17B7C" w:rsidRDefault="00F17B7C" w:rsidP="00F018D6">
            <w:pPr>
              <w:jc w:val="both"/>
              <w:rPr>
                <w:color w:val="444444"/>
                <w:sz w:val="18"/>
                <w:szCs w:val="18"/>
              </w:rPr>
            </w:pPr>
            <w:r w:rsidRPr="00F17B7C">
              <w:rPr>
                <w:color w:val="444444"/>
                <w:sz w:val="18"/>
                <w:szCs w:val="18"/>
              </w:rPr>
              <w:t>q) telefonní služby s video složkou, rovněž známé jako videofonní služby;</w:t>
            </w:r>
          </w:p>
          <w:p w:rsidR="00F17B7C" w:rsidRPr="00F17B7C" w:rsidRDefault="00F17B7C" w:rsidP="00F018D6">
            <w:pPr>
              <w:jc w:val="both"/>
              <w:rPr>
                <w:color w:val="444444"/>
                <w:sz w:val="18"/>
                <w:szCs w:val="18"/>
              </w:rPr>
            </w:pPr>
            <w:r w:rsidRPr="00F17B7C">
              <w:rPr>
                <w:color w:val="444444"/>
                <w:sz w:val="18"/>
                <w:szCs w:val="18"/>
              </w:rPr>
              <w:t>r) přístup na internet a world wide web;</w:t>
            </w:r>
          </w:p>
          <w:p w:rsidR="00F17B7C" w:rsidRDefault="00F17B7C" w:rsidP="00F018D6">
            <w:r w:rsidRPr="00F17B7C">
              <w:rPr>
                <w:color w:val="444444"/>
                <w:sz w:val="18"/>
                <w:szCs w:val="18"/>
              </w:rPr>
              <w:t>s) telefonní služby poskytované přes Internet.</w:t>
            </w:r>
          </w:p>
        </w:tc>
        <w:tc>
          <w:tcPr>
            <w:tcW w:w="900" w:type="dxa"/>
            <w:tcBorders>
              <w:top w:val="single" w:sz="4" w:space="0" w:color="auto"/>
              <w:left w:val="single" w:sz="18" w:space="0" w:color="auto"/>
              <w:bottom w:val="nil"/>
              <w:right w:val="single" w:sz="4" w:space="0" w:color="auto"/>
            </w:tcBorders>
          </w:tcPr>
          <w:p w:rsidR="00F17B7C" w:rsidRDefault="00F17B7C" w:rsidP="00C24BA2">
            <w:pPr>
              <w:rPr>
                <w:sz w:val="18"/>
              </w:rPr>
            </w:pPr>
          </w:p>
        </w:tc>
        <w:tc>
          <w:tcPr>
            <w:tcW w:w="1080" w:type="dxa"/>
            <w:tcBorders>
              <w:top w:val="single" w:sz="4" w:space="0" w:color="auto"/>
              <w:left w:val="single" w:sz="4" w:space="0" w:color="auto"/>
              <w:bottom w:val="nil"/>
              <w:right w:val="single" w:sz="4" w:space="0" w:color="auto"/>
            </w:tcBorders>
          </w:tcPr>
          <w:p w:rsidR="00F17B7C" w:rsidRDefault="00F17B7C" w:rsidP="00C24BA2">
            <w:pPr>
              <w:rPr>
                <w:sz w:val="18"/>
              </w:rPr>
            </w:pPr>
          </w:p>
        </w:tc>
        <w:tc>
          <w:tcPr>
            <w:tcW w:w="5400" w:type="dxa"/>
            <w:gridSpan w:val="4"/>
            <w:tcBorders>
              <w:top w:val="single" w:sz="4" w:space="0" w:color="auto"/>
              <w:left w:val="single" w:sz="4" w:space="0" w:color="auto"/>
              <w:bottom w:val="nil"/>
              <w:right w:val="single" w:sz="4" w:space="0" w:color="auto"/>
            </w:tcBorders>
          </w:tcPr>
          <w:p w:rsidR="00F17B7C" w:rsidRDefault="00B613F0" w:rsidP="003B061A">
            <w:pPr>
              <w:spacing w:before="60"/>
              <w:jc w:val="both"/>
              <w:rPr>
                <w:i/>
                <w:sz w:val="18"/>
              </w:rPr>
            </w:pPr>
            <w:r>
              <w:rPr>
                <w:i/>
                <w:sz w:val="18"/>
              </w:rPr>
              <w:t xml:space="preserve">Ustanovení byla zrušena </w:t>
            </w:r>
            <w:r w:rsidRPr="00B613F0">
              <w:rPr>
                <w:i/>
                <w:sz w:val="18"/>
              </w:rPr>
              <w:t>prováděcím nařízením č. 1042/2013</w:t>
            </w:r>
            <w:r>
              <w:rPr>
                <w:i/>
                <w:sz w:val="18"/>
              </w:rPr>
              <w:t>.</w:t>
            </w:r>
          </w:p>
        </w:tc>
        <w:tc>
          <w:tcPr>
            <w:tcW w:w="900" w:type="dxa"/>
            <w:tcBorders>
              <w:top w:val="single" w:sz="4" w:space="0" w:color="auto"/>
              <w:left w:val="single" w:sz="4" w:space="0" w:color="auto"/>
              <w:bottom w:val="nil"/>
              <w:right w:val="single" w:sz="4" w:space="0" w:color="auto"/>
            </w:tcBorders>
          </w:tcPr>
          <w:p w:rsidR="00F17B7C" w:rsidRPr="00B04349" w:rsidRDefault="00B613F0" w:rsidP="00C24BA2">
            <w:pPr>
              <w:jc w:val="center"/>
              <w:rPr>
                <w:sz w:val="18"/>
              </w:rPr>
            </w:pPr>
            <w:r>
              <w:rPr>
                <w:sz w:val="18"/>
              </w:rPr>
              <w:t>NA</w:t>
            </w:r>
          </w:p>
        </w:tc>
        <w:tc>
          <w:tcPr>
            <w:tcW w:w="720" w:type="dxa"/>
            <w:tcBorders>
              <w:top w:val="single" w:sz="4" w:space="0" w:color="auto"/>
              <w:left w:val="single" w:sz="4" w:space="0" w:color="auto"/>
              <w:bottom w:val="nil"/>
              <w:right w:val="single" w:sz="4" w:space="0" w:color="auto"/>
            </w:tcBorders>
          </w:tcPr>
          <w:p w:rsidR="00F17B7C" w:rsidRDefault="00F17B7C">
            <w:pPr>
              <w:rPr>
                <w:sz w:val="18"/>
              </w:rPr>
            </w:pPr>
          </w:p>
        </w:tc>
      </w:tr>
      <w:tr w:rsidR="00A21979">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w:t>
            </w:r>
            <w:r w:rsidR="002A50DB">
              <w:rPr>
                <w:sz w:val="18"/>
              </w:rPr>
              <w:t>8</w:t>
            </w:r>
          </w:p>
        </w:tc>
        <w:tc>
          <w:tcPr>
            <w:tcW w:w="5400" w:type="dxa"/>
            <w:gridSpan w:val="4"/>
            <w:tcBorders>
              <w:top w:val="single" w:sz="4" w:space="0" w:color="auto"/>
              <w:left w:val="single" w:sz="4" w:space="0" w:color="auto"/>
              <w:bottom w:val="nil"/>
              <w:right w:val="single" w:sz="18" w:space="0" w:color="auto"/>
            </w:tcBorders>
          </w:tcPr>
          <w:p w:rsidR="00A21979" w:rsidRDefault="002A50DB">
            <w:pPr>
              <w:rPr>
                <w:sz w:val="18"/>
              </w:rPr>
            </w:pPr>
            <w:r>
              <w:rPr>
                <w:color w:val="444444"/>
                <w:sz w:val="18"/>
                <w:szCs w:val="18"/>
              </w:rPr>
              <w:t>Pokud osoba povinná k dani provádí pouze montáž různých částí stroje, které jí všechny poskytl její zákazník, je uvedené plnění poskytnutím služby ve smyslu čl. 24 odst. 1 směrnice 2006/112/ES.</w:t>
            </w:r>
          </w:p>
        </w:tc>
        <w:tc>
          <w:tcPr>
            <w:tcW w:w="900" w:type="dxa"/>
            <w:tcBorders>
              <w:top w:val="single" w:sz="4" w:space="0" w:color="auto"/>
              <w:left w:val="single" w:sz="18" w:space="0" w:color="auto"/>
              <w:bottom w:val="nil"/>
              <w:right w:val="single" w:sz="4" w:space="0" w:color="auto"/>
            </w:tcBorders>
          </w:tcPr>
          <w:p w:rsidR="00A21979" w:rsidRDefault="00A21979">
            <w:pPr>
              <w:rPr>
                <w:sz w:val="18"/>
              </w:rPr>
            </w:pPr>
          </w:p>
        </w:tc>
        <w:tc>
          <w:tcPr>
            <w:tcW w:w="1080" w:type="dxa"/>
            <w:tcBorders>
              <w:top w:val="single" w:sz="4" w:space="0" w:color="auto"/>
              <w:left w:val="single" w:sz="4" w:space="0" w:color="auto"/>
              <w:bottom w:val="nil"/>
              <w:right w:val="single" w:sz="4" w:space="0" w:color="auto"/>
            </w:tcBorders>
          </w:tcPr>
          <w:p w:rsidR="00A21979" w:rsidRDefault="00A21979">
            <w:pPr>
              <w:rPr>
                <w:sz w:val="18"/>
              </w:rPr>
            </w:pPr>
          </w:p>
        </w:tc>
        <w:tc>
          <w:tcPr>
            <w:tcW w:w="5400" w:type="dxa"/>
            <w:gridSpan w:val="4"/>
            <w:tcBorders>
              <w:top w:val="single" w:sz="4" w:space="0" w:color="auto"/>
              <w:left w:val="single" w:sz="4" w:space="0" w:color="auto"/>
              <w:bottom w:val="nil"/>
              <w:right w:val="single" w:sz="4" w:space="0" w:color="auto"/>
            </w:tcBorders>
          </w:tcPr>
          <w:p w:rsidR="00A21979" w:rsidRDefault="005C5A7E" w:rsidP="003B061A">
            <w:pPr>
              <w:spacing w:before="6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1979" w:rsidRDefault="00A21979"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A21979">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w:t>
            </w:r>
            <w:r w:rsidR="00DB5127">
              <w:rPr>
                <w:sz w:val="18"/>
              </w:rPr>
              <w:t>9</w:t>
            </w:r>
          </w:p>
        </w:tc>
        <w:tc>
          <w:tcPr>
            <w:tcW w:w="5400" w:type="dxa"/>
            <w:gridSpan w:val="4"/>
            <w:tcBorders>
              <w:top w:val="single" w:sz="4" w:space="0" w:color="auto"/>
              <w:left w:val="single" w:sz="4" w:space="0" w:color="auto"/>
              <w:bottom w:val="nil"/>
              <w:right w:val="single" w:sz="18" w:space="0" w:color="auto"/>
            </w:tcBorders>
          </w:tcPr>
          <w:p w:rsidR="00A21979" w:rsidRPr="002A50DB" w:rsidRDefault="002A50DB" w:rsidP="00F018D6">
            <w:pPr>
              <w:shd w:val="clear" w:color="auto" w:fill="FFFFFF"/>
              <w:spacing w:before="60"/>
              <w:jc w:val="both"/>
              <w:rPr>
                <w:color w:val="444444"/>
                <w:sz w:val="18"/>
                <w:szCs w:val="18"/>
              </w:rPr>
            </w:pPr>
            <w:r>
              <w:rPr>
                <w:color w:val="444444"/>
                <w:sz w:val="18"/>
                <w:szCs w:val="18"/>
              </w:rPr>
              <w:t>Prodej opce, jde-li o plnění spadající do oblasti působnosti čl. 135 odst.</w:t>
            </w:r>
            <w:r w:rsidR="00F018D6">
              <w:rPr>
                <w:color w:val="444444"/>
                <w:sz w:val="18"/>
                <w:szCs w:val="18"/>
              </w:rPr>
              <w:t> </w:t>
            </w:r>
            <w:r>
              <w:rPr>
                <w:color w:val="444444"/>
                <w:sz w:val="18"/>
                <w:szCs w:val="18"/>
              </w:rPr>
              <w:t>1 písm. f) směrnice 2006/112/ES, je poskytnutím služby ve smyslu čl. 24 odst. 1 uvedené směrnice. Toto poskytnutí služby je oddělené od základních plnění, se kterými služba souvisí.</w:t>
            </w:r>
          </w:p>
        </w:tc>
        <w:tc>
          <w:tcPr>
            <w:tcW w:w="900" w:type="dxa"/>
            <w:tcBorders>
              <w:top w:val="single" w:sz="4" w:space="0" w:color="auto"/>
              <w:left w:val="single" w:sz="18" w:space="0" w:color="auto"/>
              <w:bottom w:val="nil"/>
              <w:right w:val="single" w:sz="4" w:space="0" w:color="auto"/>
            </w:tcBorders>
          </w:tcPr>
          <w:p w:rsidR="00A21979" w:rsidRDefault="00A21979">
            <w:pPr>
              <w:rPr>
                <w:sz w:val="18"/>
              </w:rPr>
            </w:pPr>
          </w:p>
        </w:tc>
        <w:tc>
          <w:tcPr>
            <w:tcW w:w="1080" w:type="dxa"/>
            <w:tcBorders>
              <w:top w:val="single" w:sz="4" w:space="0" w:color="auto"/>
              <w:left w:val="single" w:sz="4" w:space="0" w:color="auto"/>
              <w:bottom w:val="nil"/>
              <w:right w:val="single" w:sz="4" w:space="0" w:color="auto"/>
            </w:tcBorders>
          </w:tcPr>
          <w:p w:rsidR="00A21979" w:rsidRDefault="00A21979">
            <w:pPr>
              <w:rPr>
                <w:sz w:val="18"/>
              </w:rPr>
            </w:pPr>
          </w:p>
        </w:tc>
        <w:tc>
          <w:tcPr>
            <w:tcW w:w="5400" w:type="dxa"/>
            <w:gridSpan w:val="4"/>
            <w:tcBorders>
              <w:top w:val="single" w:sz="4" w:space="0" w:color="auto"/>
              <w:left w:val="single" w:sz="4" w:space="0" w:color="auto"/>
              <w:bottom w:val="nil"/>
              <w:right w:val="single" w:sz="4" w:space="0" w:color="auto"/>
            </w:tcBorders>
          </w:tcPr>
          <w:p w:rsidR="00A21979" w:rsidRDefault="005C5A7E" w:rsidP="003B061A">
            <w:pPr>
              <w:spacing w:before="6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1979" w:rsidRDefault="00A21979"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A21979" w:rsidTr="00B3098C">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w:t>
            </w:r>
            <w:r w:rsidR="002A50DB">
              <w:rPr>
                <w:sz w:val="18"/>
              </w:rPr>
              <w:t>10</w:t>
            </w:r>
          </w:p>
        </w:tc>
        <w:tc>
          <w:tcPr>
            <w:tcW w:w="5400" w:type="dxa"/>
            <w:gridSpan w:val="4"/>
            <w:tcBorders>
              <w:top w:val="single" w:sz="4" w:space="0" w:color="auto"/>
              <w:left w:val="single" w:sz="4" w:space="0" w:color="auto"/>
              <w:bottom w:val="nil"/>
              <w:right w:val="single" w:sz="18" w:space="0" w:color="auto"/>
            </w:tcBorders>
          </w:tcPr>
          <w:p w:rsidR="002A50DB" w:rsidRDefault="002A50DB" w:rsidP="002A50DB">
            <w:pPr>
              <w:shd w:val="clear" w:color="auto" w:fill="FFFFFF"/>
              <w:spacing w:before="60"/>
              <w:jc w:val="both"/>
              <w:rPr>
                <w:color w:val="444444"/>
                <w:sz w:val="18"/>
                <w:szCs w:val="18"/>
              </w:rPr>
            </w:pPr>
            <w:r>
              <w:rPr>
                <w:color w:val="444444"/>
                <w:sz w:val="18"/>
                <w:szCs w:val="18"/>
              </w:rPr>
              <w:t>1. Pro účely článků 44 a 45 směrnice 2006/112/ES je sídlem ekonomické činnosti osoby povinné k dani místo, kde dochází k výkonu ústřední správy podniku.</w:t>
            </w:r>
          </w:p>
          <w:p w:rsidR="002A50DB" w:rsidRDefault="002A50DB" w:rsidP="002A50DB">
            <w:pPr>
              <w:shd w:val="clear" w:color="auto" w:fill="FFFFFF"/>
              <w:spacing w:before="60"/>
              <w:jc w:val="both"/>
              <w:rPr>
                <w:color w:val="444444"/>
                <w:sz w:val="18"/>
                <w:szCs w:val="18"/>
              </w:rPr>
            </w:pPr>
            <w:r>
              <w:rPr>
                <w:color w:val="444444"/>
                <w:sz w:val="18"/>
                <w:szCs w:val="18"/>
              </w:rPr>
              <w:t>2. Při určování místa uvedeného v odstavci 1 se vezme v úvahu místo, kde jsou přijímána zásadní rozhodnutí týkající se obecného řízení podniku, místo statutárního sídla podniku, a místo, kde se schází vedení podniku.</w:t>
            </w:r>
          </w:p>
          <w:p w:rsidR="002A50DB" w:rsidRDefault="002A50DB" w:rsidP="002A50DB">
            <w:pPr>
              <w:shd w:val="clear" w:color="auto" w:fill="FFFFFF"/>
              <w:spacing w:before="60"/>
              <w:jc w:val="both"/>
              <w:rPr>
                <w:color w:val="444444"/>
                <w:sz w:val="18"/>
                <w:szCs w:val="18"/>
              </w:rPr>
            </w:pPr>
            <w:r>
              <w:rPr>
                <w:color w:val="444444"/>
                <w:sz w:val="18"/>
                <w:szCs w:val="18"/>
              </w:rPr>
              <w:t>Nelze-li podle těchto kritérií s jistotou určit sídlo ekonomické činnosti, je určujícím kritériem místo, kde jsou přijímána zásadní rozhodnutí týkající se obecného řízení podniku.</w:t>
            </w:r>
          </w:p>
          <w:p w:rsidR="00A21979" w:rsidRDefault="002A50DB" w:rsidP="002A50DB">
            <w:pPr>
              <w:shd w:val="clear" w:color="auto" w:fill="FFFFFF"/>
              <w:spacing w:before="60"/>
              <w:jc w:val="both"/>
              <w:rPr>
                <w:sz w:val="18"/>
              </w:rPr>
            </w:pPr>
            <w:r>
              <w:rPr>
                <w:color w:val="444444"/>
                <w:sz w:val="18"/>
                <w:szCs w:val="18"/>
              </w:rPr>
              <w:t>3. Pouhá existence poštovní adresy nemůže být postačující pro sídlo ekonomické činnosti osoby povinné k dani.</w:t>
            </w:r>
          </w:p>
        </w:tc>
        <w:tc>
          <w:tcPr>
            <w:tcW w:w="900" w:type="dxa"/>
            <w:tcBorders>
              <w:top w:val="single" w:sz="4" w:space="0" w:color="auto"/>
              <w:left w:val="single" w:sz="18" w:space="0" w:color="auto"/>
              <w:bottom w:val="nil"/>
              <w:right w:val="single" w:sz="4" w:space="0" w:color="auto"/>
            </w:tcBorders>
          </w:tcPr>
          <w:p w:rsidR="00806047" w:rsidRDefault="0098273A" w:rsidP="0098273A">
            <w:pPr>
              <w:rPr>
                <w:sz w:val="18"/>
              </w:rPr>
            </w:pPr>
            <w:r w:rsidRPr="0098273A">
              <w:rPr>
                <w:sz w:val="18"/>
              </w:rPr>
              <w:t xml:space="preserve">235/2004 ve znění </w:t>
            </w:r>
          </w:p>
          <w:p w:rsidR="00A21979" w:rsidRDefault="00806047" w:rsidP="00806047">
            <w:pPr>
              <w:rPr>
                <w:sz w:val="18"/>
              </w:rPr>
            </w:pPr>
            <w:r>
              <w:rPr>
                <w:sz w:val="18"/>
              </w:rPr>
              <w:t xml:space="preserve">502/2012 </w:t>
            </w:r>
            <w:r w:rsidR="0098273A" w:rsidRPr="0098273A">
              <w:rPr>
                <w:sz w:val="18"/>
              </w:rPr>
              <w:t>360/2014</w:t>
            </w:r>
          </w:p>
        </w:tc>
        <w:tc>
          <w:tcPr>
            <w:tcW w:w="1080" w:type="dxa"/>
            <w:tcBorders>
              <w:top w:val="single" w:sz="4" w:space="0" w:color="auto"/>
              <w:left w:val="single" w:sz="4" w:space="0" w:color="auto"/>
              <w:bottom w:val="nil"/>
              <w:right w:val="single" w:sz="4" w:space="0" w:color="auto"/>
            </w:tcBorders>
          </w:tcPr>
          <w:p w:rsidR="00A21979" w:rsidRDefault="002A50DB">
            <w:pPr>
              <w:rPr>
                <w:sz w:val="18"/>
              </w:rPr>
            </w:pPr>
            <w:r>
              <w:rPr>
                <w:sz w:val="18"/>
              </w:rPr>
              <w:t>§ 4 odst. 1 písm. i)</w:t>
            </w:r>
          </w:p>
        </w:tc>
        <w:tc>
          <w:tcPr>
            <w:tcW w:w="5400" w:type="dxa"/>
            <w:gridSpan w:val="4"/>
            <w:tcBorders>
              <w:top w:val="single" w:sz="4" w:space="0" w:color="auto"/>
              <w:left w:val="single" w:sz="4" w:space="0" w:color="auto"/>
              <w:bottom w:val="nil"/>
              <w:right w:val="single" w:sz="4" w:space="0" w:color="auto"/>
            </w:tcBorders>
          </w:tcPr>
          <w:p w:rsidR="00507A68" w:rsidRDefault="00507A68" w:rsidP="003B061A">
            <w:pPr>
              <w:spacing w:before="60"/>
              <w:jc w:val="both"/>
              <w:rPr>
                <w:sz w:val="18"/>
              </w:rPr>
            </w:pPr>
            <w:r w:rsidRPr="002A50DB">
              <w:rPr>
                <w:sz w:val="18"/>
              </w:rPr>
              <w:t>Pro účely tohoto zákona se rozumí:</w:t>
            </w:r>
          </w:p>
          <w:p w:rsidR="002A50DB" w:rsidRDefault="00507A68" w:rsidP="003B061A">
            <w:pPr>
              <w:spacing w:before="60"/>
              <w:jc w:val="both"/>
              <w:rPr>
                <w:sz w:val="18"/>
              </w:rPr>
            </w:pPr>
            <w:r>
              <w:rPr>
                <w:sz w:val="18"/>
              </w:rPr>
              <w:t xml:space="preserve">i) </w:t>
            </w:r>
            <w:r w:rsidR="002A50DB" w:rsidRPr="002A50DB">
              <w:rPr>
                <w:sz w:val="18"/>
              </w:rPr>
              <w:t>sídlem u osoby povinné k dani adresa místa jejího vedení, kterým se rozumí místo, kde jsou přijímána zásadní rozhodnutí týkající se řízení osoby povinné k dani, popřípadě místo, kde se schází její vedení; nemá-li</w:t>
            </w:r>
            <w:r w:rsidR="002A50DB">
              <w:rPr>
                <w:sz w:val="18"/>
              </w:rPr>
              <w:t xml:space="preserve"> </w:t>
            </w:r>
            <w:r w:rsidR="002A50DB" w:rsidRPr="002A50DB">
              <w:rPr>
                <w:sz w:val="18"/>
              </w:rPr>
              <w:t>fyzická osoba místo svého vedení, rozumí se sídlem u této osoby místo jejího pobytu,</w:t>
            </w:r>
          </w:p>
        </w:tc>
        <w:tc>
          <w:tcPr>
            <w:tcW w:w="900" w:type="dxa"/>
            <w:tcBorders>
              <w:top w:val="single" w:sz="4" w:space="0" w:color="auto"/>
              <w:left w:val="single" w:sz="4" w:space="0" w:color="auto"/>
              <w:bottom w:val="nil"/>
              <w:right w:val="single" w:sz="4" w:space="0" w:color="auto"/>
            </w:tcBorders>
          </w:tcPr>
          <w:p w:rsidR="00A21979"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B3098C" w:rsidTr="00B3098C">
        <w:tc>
          <w:tcPr>
            <w:tcW w:w="1440" w:type="dxa"/>
            <w:tcBorders>
              <w:top w:val="nil"/>
              <w:left w:val="single" w:sz="4" w:space="0" w:color="auto"/>
              <w:bottom w:val="single" w:sz="4" w:space="0" w:color="auto"/>
              <w:right w:val="single" w:sz="4" w:space="0" w:color="auto"/>
            </w:tcBorders>
          </w:tcPr>
          <w:p w:rsidR="00B3098C" w:rsidRDefault="00B3098C" w:rsidP="00E27FE9">
            <w:pPr>
              <w:spacing w:before="60"/>
              <w:rPr>
                <w:sz w:val="18"/>
              </w:rPr>
            </w:pPr>
          </w:p>
        </w:tc>
        <w:tc>
          <w:tcPr>
            <w:tcW w:w="5400" w:type="dxa"/>
            <w:gridSpan w:val="4"/>
            <w:tcBorders>
              <w:top w:val="nil"/>
              <w:left w:val="single" w:sz="4" w:space="0" w:color="auto"/>
              <w:bottom w:val="single" w:sz="4" w:space="0" w:color="auto"/>
              <w:right w:val="single" w:sz="18" w:space="0" w:color="auto"/>
            </w:tcBorders>
          </w:tcPr>
          <w:p w:rsidR="00B3098C" w:rsidRDefault="00B3098C" w:rsidP="002A50DB">
            <w:pPr>
              <w:shd w:val="clear" w:color="auto" w:fill="FFFFFF"/>
              <w:spacing w:before="60"/>
              <w:jc w:val="both"/>
              <w:rPr>
                <w:color w:val="444444"/>
                <w:sz w:val="18"/>
                <w:szCs w:val="18"/>
              </w:rPr>
            </w:pPr>
          </w:p>
        </w:tc>
        <w:tc>
          <w:tcPr>
            <w:tcW w:w="900" w:type="dxa"/>
            <w:tcBorders>
              <w:top w:val="nil"/>
              <w:left w:val="single" w:sz="18" w:space="0" w:color="auto"/>
              <w:bottom w:val="single" w:sz="4" w:space="0" w:color="auto"/>
              <w:right w:val="single" w:sz="4" w:space="0" w:color="auto"/>
            </w:tcBorders>
          </w:tcPr>
          <w:p w:rsidR="00B3098C" w:rsidRPr="0098273A" w:rsidRDefault="00B3098C" w:rsidP="0098273A">
            <w:pPr>
              <w:rPr>
                <w:sz w:val="18"/>
              </w:rPr>
            </w:pPr>
            <w:r w:rsidRPr="00636E4B">
              <w:rPr>
                <w:sz w:val="18"/>
                <w:szCs w:val="18"/>
              </w:rPr>
              <w:t>10164</w:t>
            </w:r>
          </w:p>
        </w:tc>
        <w:tc>
          <w:tcPr>
            <w:tcW w:w="1080" w:type="dxa"/>
            <w:tcBorders>
              <w:top w:val="nil"/>
              <w:left w:val="single" w:sz="4" w:space="0" w:color="auto"/>
              <w:bottom w:val="single" w:sz="4" w:space="0" w:color="auto"/>
              <w:right w:val="single" w:sz="4" w:space="0" w:color="auto"/>
            </w:tcBorders>
          </w:tcPr>
          <w:p w:rsidR="00B3098C" w:rsidRDefault="00B3098C">
            <w:pPr>
              <w:rPr>
                <w:sz w:val="18"/>
              </w:rPr>
            </w:pPr>
          </w:p>
        </w:tc>
        <w:tc>
          <w:tcPr>
            <w:tcW w:w="5400" w:type="dxa"/>
            <w:gridSpan w:val="4"/>
            <w:tcBorders>
              <w:top w:val="nil"/>
              <w:left w:val="single" w:sz="4" w:space="0" w:color="auto"/>
              <w:bottom w:val="single" w:sz="4" w:space="0" w:color="auto"/>
              <w:right w:val="single" w:sz="4" w:space="0" w:color="auto"/>
            </w:tcBorders>
          </w:tcPr>
          <w:p w:rsidR="00B3098C" w:rsidRPr="002A50DB" w:rsidRDefault="00B3098C" w:rsidP="003B061A">
            <w:pPr>
              <w:spacing w:before="60"/>
              <w:jc w:val="both"/>
              <w:rPr>
                <w:sz w:val="18"/>
              </w:rPr>
            </w:pPr>
          </w:p>
        </w:tc>
        <w:tc>
          <w:tcPr>
            <w:tcW w:w="900" w:type="dxa"/>
            <w:tcBorders>
              <w:top w:val="nil"/>
              <w:left w:val="single" w:sz="4" w:space="0" w:color="auto"/>
              <w:bottom w:val="single" w:sz="4" w:space="0" w:color="auto"/>
              <w:right w:val="single" w:sz="4" w:space="0" w:color="auto"/>
            </w:tcBorders>
          </w:tcPr>
          <w:p w:rsidR="00B3098C" w:rsidRDefault="00B3098C" w:rsidP="00A21979">
            <w:pPr>
              <w:jc w:val="center"/>
              <w:rPr>
                <w:sz w:val="18"/>
              </w:rPr>
            </w:pPr>
          </w:p>
        </w:tc>
        <w:tc>
          <w:tcPr>
            <w:tcW w:w="720" w:type="dxa"/>
            <w:tcBorders>
              <w:top w:val="nil"/>
              <w:left w:val="single" w:sz="4" w:space="0" w:color="auto"/>
              <w:bottom w:val="single" w:sz="4" w:space="0" w:color="auto"/>
              <w:right w:val="single" w:sz="4" w:space="0" w:color="auto"/>
            </w:tcBorders>
          </w:tcPr>
          <w:p w:rsidR="00B3098C" w:rsidRDefault="00B3098C">
            <w:pPr>
              <w:rPr>
                <w:sz w:val="18"/>
              </w:rPr>
            </w:pPr>
          </w:p>
        </w:tc>
      </w:tr>
      <w:tr w:rsidR="00A21979" w:rsidTr="00B3098C">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w:t>
            </w:r>
            <w:r w:rsidR="002A50DB">
              <w:rPr>
                <w:sz w:val="18"/>
              </w:rPr>
              <w:t>1</w:t>
            </w:r>
            <w:r w:rsidR="00721A5F">
              <w:rPr>
                <w:sz w:val="18"/>
              </w:rPr>
              <w:t>1 odst. 1</w:t>
            </w:r>
          </w:p>
        </w:tc>
        <w:tc>
          <w:tcPr>
            <w:tcW w:w="5400" w:type="dxa"/>
            <w:gridSpan w:val="4"/>
            <w:tcBorders>
              <w:top w:val="single" w:sz="4" w:space="0" w:color="auto"/>
              <w:left w:val="single" w:sz="4" w:space="0" w:color="auto"/>
              <w:bottom w:val="nil"/>
              <w:right w:val="single" w:sz="18" w:space="0" w:color="auto"/>
            </w:tcBorders>
          </w:tcPr>
          <w:p w:rsidR="00A21979" w:rsidRPr="00721A5F" w:rsidRDefault="00F06E50" w:rsidP="00721A5F">
            <w:pPr>
              <w:shd w:val="clear" w:color="auto" w:fill="FFFFFF"/>
              <w:spacing w:before="60"/>
              <w:jc w:val="both"/>
              <w:rPr>
                <w:color w:val="444444"/>
                <w:sz w:val="18"/>
                <w:szCs w:val="18"/>
              </w:rPr>
            </w:pPr>
            <w:r>
              <w:rPr>
                <w:color w:val="444444"/>
                <w:sz w:val="18"/>
                <w:szCs w:val="18"/>
              </w:rPr>
              <w:t>1. </w:t>
            </w:r>
            <w:r w:rsidR="00721A5F">
              <w:rPr>
                <w:color w:val="444444"/>
                <w:sz w:val="18"/>
                <w:szCs w:val="18"/>
              </w:rPr>
              <w:t>Pro účely článku 44 směrnice 2006/112/ES se „stálou provozovnou“ rozumí jakákoli provozovna jiná než sídlo ekonomické činnosti ve smyslu článku 10 tohoto nařízení, která se vyznačuje dostatečnou úrovní stálosti a vhodnou strukturou z hlediska lidských a technických zdrojů, což jí umožňuje přijímat a využívat služby, které jí jsou poskytovány pro její vlastní potřebu.</w:t>
            </w:r>
          </w:p>
        </w:tc>
        <w:tc>
          <w:tcPr>
            <w:tcW w:w="900" w:type="dxa"/>
            <w:tcBorders>
              <w:top w:val="single" w:sz="4" w:space="0" w:color="auto"/>
              <w:left w:val="single" w:sz="18" w:space="0" w:color="auto"/>
              <w:bottom w:val="nil"/>
              <w:right w:val="single" w:sz="4" w:space="0" w:color="auto"/>
            </w:tcBorders>
          </w:tcPr>
          <w:p w:rsidR="00A21979" w:rsidRDefault="0098273A" w:rsidP="000C2C93">
            <w:pPr>
              <w:rPr>
                <w:sz w:val="18"/>
              </w:rPr>
            </w:pPr>
            <w:r w:rsidRPr="0098273A">
              <w:rPr>
                <w:sz w:val="18"/>
              </w:rPr>
              <w:t xml:space="preserve">235/2004 ve znění 502/2012 </w:t>
            </w:r>
            <w:r w:rsidR="000C2C93">
              <w:rPr>
                <w:sz w:val="18"/>
              </w:rPr>
              <w:t>344/2013</w:t>
            </w:r>
            <w:r w:rsidR="00FF35A8">
              <w:rPr>
                <w:sz w:val="18"/>
              </w:rPr>
              <w:t xml:space="preserve"> </w:t>
            </w:r>
            <w:r w:rsidRPr="0098273A">
              <w:rPr>
                <w:sz w:val="18"/>
              </w:rPr>
              <w:t>360/2014</w:t>
            </w:r>
          </w:p>
        </w:tc>
        <w:tc>
          <w:tcPr>
            <w:tcW w:w="1080" w:type="dxa"/>
            <w:tcBorders>
              <w:top w:val="single" w:sz="4" w:space="0" w:color="auto"/>
              <w:left w:val="single" w:sz="4" w:space="0" w:color="auto"/>
              <w:bottom w:val="nil"/>
              <w:right w:val="single" w:sz="4" w:space="0" w:color="auto"/>
            </w:tcBorders>
          </w:tcPr>
          <w:p w:rsidR="00A21979" w:rsidRDefault="00721A5F">
            <w:pPr>
              <w:rPr>
                <w:sz w:val="18"/>
              </w:rPr>
            </w:pPr>
            <w:r>
              <w:rPr>
                <w:sz w:val="18"/>
              </w:rPr>
              <w:t>§ 4 odst. 1 písm. j)</w:t>
            </w:r>
          </w:p>
        </w:tc>
        <w:tc>
          <w:tcPr>
            <w:tcW w:w="5400" w:type="dxa"/>
            <w:gridSpan w:val="4"/>
            <w:tcBorders>
              <w:top w:val="single" w:sz="4" w:space="0" w:color="auto"/>
              <w:left w:val="single" w:sz="4" w:space="0" w:color="auto"/>
              <w:bottom w:val="nil"/>
              <w:right w:val="single" w:sz="4" w:space="0" w:color="auto"/>
            </w:tcBorders>
          </w:tcPr>
          <w:p w:rsidR="00507A68" w:rsidRDefault="00507A68" w:rsidP="003B061A">
            <w:pPr>
              <w:spacing w:before="60"/>
              <w:jc w:val="both"/>
              <w:rPr>
                <w:sz w:val="18"/>
              </w:rPr>
            </w:pPr>
            <w:r w:rsidRPr="002A50DB">
              <w:rPr>
                <w:sz w:val="18"/>
              </w:rPr>
              <w:t>Pro účely tohoto zákona se rozumí:</w:t>
            </w:r>
          </w:p>
          <w:p w:rsidR="00A21979" w:rsidRDefault="00507A68" w:rsidP="003B061A">
            <w:pPr>
              <w:spacing w:before="60"/>
              <w:jc w:val="both"/>
              <w:rPr>
                <w:sz w:val="18"/>
              </w:rPr>
            </w:pPr>
            <w:r>
              <w:rPr>
                <w:sz w:val="18"/>
              </w:rPr>
              <w:t xml:space="preserve">j) </w:t>
            </w:r>
            <w:r w:rsidR="00721A5F" w:rsidRPr="00721A5F">
              <w:rPr>
                <w:sz w:val="18"/>
              </w:rPr>
              <w:t>provozovnou organizační složka osoby povinné k dani, která může uskutečňovat dodání zboží nebo poskytnutí služby, neboť je dostatečně stálá a má vhodné personální a technické zdroje,</w:t>
            </w:r>
          </w:p>
        </w:tc>
        <w:tc>
          <w:tcPr>
            <w:tcW w:w="900" w:type="dxa"/>
            <w:tcBorders>
              <w:top w:val="single" w:sz="4" w:space="0" w:color="auto"/>
              <w:left w:val="single" w:sz="4" w:space="0" w:color="auto"/>
              <w:bottom w:val="nil"/>
              <w:right w:val="single" w:sz="4" w:space="0" w:color="auto"/>
            </w:tcBorders>
          </w:tcPr>
          <w:p w:rsidR="00A21979"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2A50DB" w:rsidTr="00721A5F">
        <w:tc>
          <w:tcPr>
            <w:tcW w:w="1440" w:type="dxa"/>
            <w:tcBorders>
              <w:top w:val="nil"/>
              <w:left w:val="single" w:sz="4" w:space="0" w:color="auto"/>
              <w:bottom w:val="single" w:sz="4" w:space="0" w:color="auto"/>
              <w:right w:val="single" w:sz="4" w:space="0" w:color="auto"/>
            </w:tcBorders>
          </w:tcPr>
          <w:p w:rsidR="002A50DB" w:rsidRDefault="002A50DB"/>
        </w:tc>
        <w:tc>
          <w:tcPr>
            <w:tcW w:w="5400" w:type="dxa"/>
            <w:gridSpan w:val="4"/>
            <w:tcBorders>
              <w:top w:val="nil"/>
              <w:left w:val="single" w:sz="4" w:space="0" w:color="auto"/>
              <w:bottom w:val="single" w:sz="4" w:space="0" w:color="auto"/>
              <w:right w:val="single" w:sz="18" w:space="0" w:color="auto"/>
            </w:tcBorders>
          </w:tcPr>
          <w:p w:rsidR="002A50DB" w:rsidRDefault="002A50DB">
            <w:pPr>
              <w:rPr>
                <w:sz w:val="18"/>
              </w:rPr>
            </w:pPr>
          </w:p>
        </w:tc>
        <w:tc>
          <w:tcPr>
            <w:tcW w:w="900" w:type="dxa"/>
            <w:tcBorders>
              <w:top w:val="nil"/>
              <w:left w:val="single" w:sz="18" w:space="0" w:color="auto"/>
              <w:bottom w:val="single" w:sz="4" w:space="0" w:color="auto"/>
              <w:right w:val="single" w:sz="4" w:space="0" w:color="auto"/>
            </w:tcBorders>
          </w:tcPr>
          <w:p w:rsidR="002A50DB" w:rsidRDefault="005A5BFC" w:rsidP="005A5BFC">
            <w:pPr>
              <w:rPr>
                <w:sz w:val="18"/>
              </w:rPr>
            </w:pPr>
            <w:r w:rsidRPr="005A5BFC">
              <w:rPr>
                <w:sz w:val="18"/>
              </w:rPr>
              <w:t xml:space="preserve">235/2004 ve znění </w:t>
            </w:r>
            <w:r w:rsidR="00D26732">
              <w:rPr>
                <w:sz w:val="18"/>
              </w:rPr>
              <w:t>489/2009</w:t>
            </w:r>
            <w:r w:rsidRPr="005A5BFC">
              <w:rPr>
                <w:sz w:val="18"/>
              </w:rPr>
              <w:t xml:space="preserve">502/2012 </w:t>
            </w:r>
          </w:p>
        </w:tc>
        <w:tc>
          <w:tcPr>
            <w:tcW w:w="1080" w:type="dxa"/>
            <w:tcBorders>
              <w:top w:val="nil"/>
              <w:left w:val="single" w:sz="4" w:space="0" w:color="auto"/>
              <w:bottom w:val="single" w:sz="4" w:space="0" w:color="auto"/>
              <w:right w:val="single" w:sz="4" w:space="0" w:color="auto"/>
            </w:tcBorders>
          </w:tcPr>
          <w:p w:rsidR="002A50DB" w:rsidRDefault="00721A5F">
            <w:pPr>
              <w:rPr>
                <w:sz w:val="18"/>
              </w:rPr>
            </w:pPr>
            <w:r>
              <w:rPr>
                <w:sz w:val="18"/>
              </w:rPr>
              <w:t>§ 9 odst. 1 3. věta</w:t>
            </w:r>
          </w:p>
        </w:tc>
        <w:tc>
          <w:tcPr>
            <w:tcW w:w="5400" w:type="dxa"/>
            <w:gridSpan w:val="4"/>
            <w:tcBorders>
              <w:top w:val="nil"/>
              <w:left w:val="single" w:sz="4" w:space="0" w:color="auto"/>
              <w:bottom w:val="single" w:sz="4" w:space="0" w:color="auto"/>
              <w:right w:val="single" w:sz="4" w:space="0" w:color="auto"/>
            </w:tcBorders>
          </w:tcPr>
          <w:p w:rsidR="002A50DB" w:rsidRDefault="00721A5F" w:rsidP="003B061A">
            <w:pPr>
              <w:spacing w:before="60"/>
              <w:jc w:val="both"/>
              <w:rPr>
                <w:sz w:val="18"/>
              </w:rPr>
            </w:pPr>
            <w:r w:rsidRPr="00721A5F">
              <w:rPr>
                <w:sz w:val="18"/>
              </w:rPr>
              <w:t>Za tuto provozovnu se považuje organizační složka této osoby povinné k dani, která může přijímat a využívat služby, které jsou poskytovány pro potřebu této provozovny, neboť je dostatečně stálá a má vhodné personální a technické zdroje.</w:t>
            </w:r>
          </w:p>
        </w:tc>
        <w:tc>
          <w:tcPr>
            <w:tcW w:w="900" w:type="dxa"/>
            <w:tcBorders>
              <w:top w:val="nil"/>
              <w:left w:val="single" w:sz="4" w:space="0" w:color="auto"/>
              <w:bottom w:val="single" w:sz="4" w:space="0" w:color="auto"/>
              <w:right w:val="single" w:sz="4" w:space="0" w:color="auto"/>
            </w:tcBorders>
          </w:tcPr>
          <w:p w:rsidR="002A50DB" w:rsidRDefault="002A50DB" w:rsidP="00A21979">
            <w:pPr>
              <w:jc w:val="center"/>
            </w:pPr>
          </w:p>
        </w:tc>
        <w:tc>
          <w:tcPr>
            <w:tcW w:w="720" w:type="dxa"/>
            <w:tcBorders>
              <w:top w:val="nil"/>
              <w:left w:val="single" w:sz="4" w:space="0" w:color="auto"/>
              <w:bottom w:val="single" w:sz="4" w:space="0" w:color="auto"/>
              <w:right w:val="single" w:sz="4" w:space="0" w:color="auto"/>
            </w:tcBorders>
          </w:tcPr>
          <w:p w:rsidR="002A50DB" w:rsidRDefault="002A50DB">
            <w:pPr>
              <w:rPr>
                <w:sz w:val="18"/>
              </w:rPr>
            </w:pPr>
          </w:p>
        </w:tc>
      </w:tr>
      <w:tr w:rsidR="00721A5F" w:rsidTr="00721A5F">
        <w:tc>
          <w:tcPr>
            <w:tcW w:w="1440" w:type="dxa"/>
            <w:tcBorders>
              <w:top w:val="single" w:sz="4" w:space="0" w:color="auto"/>
              <w:left w:val="single" w:sz="4" w:space="0" w:color="auto"/>
              <w:bottom w:val="nil"/>
              <w:right w:val="single" w:sz="4" w:space="0" w:color="auto"/>
            </w:tcBorders>
          </w:tcPr>
          <w:p w:rsidR="00721A5F" w:rsidRDefault="00721A5F" w:rsidP="00F06E50">
            <w:r w:rsidRPr="003B3E18">
              <w:rPr>
                <w:sz w:val="18"/>
              </w:rPr>
              <w:t>Článek 1</w:t>
            </w:r>
            <w:r>
              <w:rPr>
                <w:sz w:val="18"/>
              </w:rPr>
              <w:t>1 odst. 2 písm. a)</w:t>
            </w:r>
            <w:r w:rsidR="00F06E50">
              <w:rPr>
                <w:sz w:val="18"/>
              </w:rPr>
              <w:t>, b)</w:t>
            </w:r>
            <w:r>
              <w:rPr>
                <w:sz w:val="18"/>
              </w:rPr>
              <w:t xml:space="preserve"> a </w:t>
            </w:r>
            <w:r w:rsidR="00F06E50">
              <w:rPr>
                <w:sz w:val="18"/>
              </w:rPr>
              <w:t>d</w:t>
            </w:r>
            <w:r>
              <w:rPr>
                <w:sz w:val="18"/>
              </w:rPr>
              <w:t>)</w:t>
            </w:r>
            <w:r w:rsidR="00F06E50">
              <w:rPr>
                <w:sz w:val="18"/>
              </w:rPr>
              <w:t xml:space="preserve"> </w:t>
            </w:r>
          </w:p>
        </w:tc>
        <w:tc>
          <w:tcPr>
            <w:tcW w:w="5400" w:type="dxa"/>
            <w:gridSpan w:val="4"/>
            <w:tcBorders>
              <w:top w:val="single" w:sz="4" w:space="0" w:color="auto"/>
              <w:left w:val="single" w:sz="4" w:space="0" w:color="auto"/>
              <w:bottom w:val="nil"/>
              <w:right w:val="single" w:sz="18" w:space="0" w:color="auto"/>
            </w:tcBorders>
          </w:tcPr>
          <w:p w:rsidR="00721A5F" w:rsidRDefault="00F06E50" w:rsidP="00721A5F">
            <w:pPr>
              <w:shd w:val="clear" w:color="auto" w:fill="FFFFFF"/>
              <w:spacing w:before="60"/>
              <w:jc w:val="both"/>
              <w:rPr>
                <w:color w:val="444444"/>
                <w:sz w:val="18"/>
                <w:szCs w:val="18"/>
              </w:rPr>
            </w:pPr>
            <w:r>
              <w:rPr>
                <w:color w:val="444444"/>
                <w:sz w:val="18"/>
                <w:szCs w:val="18"/>
              </w:rPr>
              <w:t>2</w:t>
            </w:r>
            <w:r w:rsidR="00721A5F">
              <w:rPr>
                <w:color w:val="444444"/>
                <w:sz w:val="18"/>
                <w:szCs w:val="18"/>
              </w:rPr>
              <w:t> Pro účely následujících článků se „stálou provozovnou“ rozumí jakákoli provozovna jiná než sídlo ekonomické činnosti ve smyslu článku 10 tohoto nařízení, která se vyznačuje dostatečnou úrovní stálosti a vhodnou strukturou z hlediska lidských a technických zdrojů, což jí umožňuje poskytovat služby, jejichž poskytnutí zajišťuje:</w:t>
            </w:r>
          </w:p>
          <w:p w:rsidR="00721A5F" w:rsidRDefault="00721A5F" w:rsidP="00721A5F">
            <w:pPr>
              <w:spacing w:before="60"/>
              <w:jc w:val="both"/>
              <w:rPr>
                <w:color w:val="444444"/>
                <w:sz w:val="18"/>
                <w:szCs w:val="18"/>
              </w:rPr>
            </w:pPr>
            <w:r>
              <w:rPr>
                <w:color w:val="444444"/>
                <w:sz w:val="18"/>
                <w:szCs w:val="18"/>
              </w:rPr>
              <w:t>a) článku 45 směrnice 2006/112/ES;</w:t>
            </w:r>
          </w:p>
          <w:p w:rsidR="00721A5F" w:rsidRDefault="00721A5F" w:rsidP="00721A5F">
            <w:pPr>
              <w:spacing w:before="60"/>
              <w:jc w:val="both"/>
              <w:rPr>
                <w:color w:val="444444"/>
                <w:sz w:val="18"/>
                <w:szCs w:val="18"/>
              </w:rPr>
            </w:pPr>
            <w:r>
              <w:rPr>
                <w:color w:val="444444"/>
                <w:sz w:val="18"/>
                <w:szCs w:val="18"/>
              </w:rPr>
              <w:t>b) od 1. ledna 2013 čl. 56 odst. 2 druhého pododstavce směrnice 2006/112/ES;</w:t>
            </w:r>
          </w:p>
          <w:p w:rsidR="00721A5F" w:rsidRPr="00F06E50" w:rsidRDefault="00721A5F" w:rsidP="00F06E50">
            <w:pPr>
              <w:spacing w:before="60"/>
              <w:jc w:val="both"/>
              <w:rPr>
                <w:color w:val="444444"/>
                <w:sz w:val="18"/>
                <w:szCs w:val="18"/>
              </w:rPr>
            </w:pPr>
            <w:r>
              <w:rPr>
                <w:color w:val="444444"/>
                <w:sz w:val="18"/>
                <w:szCs w:val="18"/>
              </w:rPr>
              <w:t>d) článku 192a směrnice 2006/112/ES.</w:t>
            </w:r>
          </w:p>
        </w:tc>
        <w:tc>
          <w:tcPr>
            <w:tcW w:w="900" w:type="dxa"/>
            <w:tcBorders>
              <w:top w:val="single" w:sz="4" w:space="0" w:color="auto"/>
              <w:left w:val="single" w:sz="18" w:space="0" w:color="auto"/>
              <w:bottom w:val="nil"/>
              <w:right w:val="single" w:sz="4" w:space="0" w:color="auto"/>
            </w:tcBorders>
          </w:tcPr>
          <w:p w:rsidR="00721A5F" w:rsidRDefault="005A5BFC">
            <w:pPr>
              <w:rPr>
                <w:sz w:val="18"/>
              </w:rPr>
            </w:pPr>
            <w:r w:rsidRPr="0098273A">
              <w:rPr>
                <w:sz w:val="18"/>
              </w:rPr>
              <w:t xml:space="preserve">235/2004 ve znění 502/2012 </w:t>
            </w:r>
            <w:r w:rsidR="00FF35A8">
              <w:rPr>
                <w:sz w:val="18"/>
              </w:rPr>
              <w:t xml:space="preserve">344/2013 </w:t>
            </w:r>
            <w:r w:rsidRPr="0098273A">
              <w:rPr>
                <w:sz w:val="18"/>
              </w:rPr>
              <w:t>360/2014</w:t>
            </w:r>
          </w:p>
        </w:tc>
        <w:tc>
          <w:tcPr>
            <w:tcW w:w="1080" w:type="dxa"/>
            <w:tcBorders>
              <w:top w:val="single" w:sz="4" w:space="0" w:color="auto"/>
              <w:left w:val="single" w:sz="4" w:space="0" w:color="auto"/>
              <w:bottom w:val="nil"/>
              <w:right w:val="single" w:sz="4" w:space="0" w:color="auto"/>
            </w:tcBorders>
          </w:tcPr>
          <w:p w:rsidR="00721A5F" w:rsidRDefault="00721A5F" w:rsidP="00C90555">
            <w:pPr>
              <w:rPr>
                <w:sz w:val="18"/>
              </w:rPr>
            </w:pPr>
            <w:r>
              <w:rPr>
                <w:sz w:val="18"/>
              </w:rPr>
              <w:t>§ 4 odst. 1 písm. j)</w:t>
            </w:r>
          </w:p>
        </w:tc>
        <w:tc>
          <w:tcPr>
            <w:tcW w:w="5400" w:type="dxa"/>
            <w:gridSpan w:val="4"/>
            <w:tcBorders>
              <w:top w:val="single" w:sz="4" w:space="0" w:color="auto"/>
              <w:left w:val="single" w:sz="4" w:space="0" w:color="auto"/>
              <w:bottom w:val="nil"/>
              <w:right w:val="single" w:sz="4" w:space="0" w:color="auto"/>
            </w:tcBorders>
          </w:tcPr>
          <w:p w:rsidR="00507A68" w:rsidRDefault="00507A68" w:rsidP="003B061A">
            <w:pPr>
              <w:spacing w:before="60"/>
              <w:jc w:val="both"/>
              <w:rPr>
                <w:sz w:val="18"/>
              </w:rPr>
            </w:pPr>
            <w:r w:rsidRPr="002A50DB">
              <w:rPr>
                <w:sz w:val="18"/>
              </w:rPr>
              <w:t>Pro účely tohoto zákona se rozumí:</w:t>
            </w:r>
          </w:p>
          <w:p w:rsidR="00721A5F" w:rsidRDefault="00507A68" w:rsidP="003B061A">
            <w:pPr>
              <w:spacing w:before="60"/>
              <w:jc w:val="both"/>
              <w:rPr>
                <w:sz w:val="18"/>
              </w:rPr>
            </w:pPr>
            <w:r>
              <w:rPr>
                <w:sz w:val="18"/>
              </w:rPr>
              <w:t xml:space="preserve">j) </w:t>
            </w:r>
            <w:r w:rsidRPr="00721A5F">
              <w:rPr>
                <w:sz w:val="18"/>
              </w:rPr>
              <w:t>provozovnou organizační složka osoby povinné k dani, která může uskutečňovat dodání zboží nebo poskytnutí služby, neboť je dostatečně stálá a má vhodné personální a technické zdroje,</w:t>
            </w:r>
          </w:p>
        </w:tc>
        <w:tc>
          <w:tcPr>
            <w:tcW w:w="900" w:type="dxa"/>
            <w:tcBorders>
              <w:top w:val="single" w:sz="4" w:space="0" w:color="auto"/>
              <w:left w:val="single" w:sz="4" w:space="0" w:color="auto"/>
              <w:bottom w:val="nil"/>
              <w:right w:val="single" w:sz="4" w:space="0" w:color="auto"/>
            </w:tcBorders>
          </w:tcPr>
          <w:p w:rsidR="00721A5F"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721A5F" w:rsidRDefault="00721A5F">
            <w:pPr>
              <w:rPr>
                <w:sz w:val="18"/>
              </w:rPr>
            </w:pPr>
          </w:p>
        </w:tc>
      </w:tr>
      <w:tr w:rsidR="00F06E50" w:rsidTr="00721A5F">
        <w:tc>
          <w:tcPr>
            <w:tcW w:w="1440" w:type="dxa"/>
            <w:tcBorders>
              <w:top w:val="single" w:sz="4" w:space="0" w:color="auto"/>
              <w:left w:val="single" w:sz="4" w:space="0" w:color="auto"/>
              <w:bottom w:val="nil"/>
              <w:right w:val="single" w:sz="4" w:space="0" w:color="auto"/>
            </w:tcBorders>
          </w:tcPr>
          <w:p w:rsidR="00F06E50" w:rsidRPr="003B3E18" w:rsidRDefault="00F06E50" w:rsidP="00F06E50">
            <w:pPr>
              <w:rPr>
                <w:sz w:val="18"/>
              </w:rPr>
            </w:pPr>
            <w:r w:rsidRPr="003B3E18">
              <w:rPr>
                <w:sz w:val="18"/>
              </w:rPr>
              <w:t>Článek 1</w:t>
            </w:r>
            <w:r>
              <w:rPr>
                <w:sz w:val="18"/>
              </w:rPr>
              <w:t>1 odst. 2 písm. c)</w:t>
            </w:r>
          </w:p>
        </w:tc>
        <w:tc>
          <w:tcPr>
            <w:tcW w:w="5400" w:type="dxa"/>
            <w:gridSpan w:val="4"/>
            <w:tcBorders>
              <w:top w:val="single" w:sz="4" w:space="0" w:color="auto"/>
              <w:left w:val="single" w:sz="4" w:space="0" w:color="auto"/>
              <w:bottom w:val="nil"/>
              <w:right w:val="single" w:sz="18" w:space="0" w:color="auto"/>
            </w:tcBorders>
          </w:tcPr>
          <w:p w:rsidR="00F06E50" w:rsidRDefault="00F06E50" w:rsidP="00F06E50">
            <w:pPr>
              <w:shd w:val="clear" w:color="auto" w:fill="FFFFFF"/>
              <w:spacing w:before="60"/>
              <w:jc w:val="both"/>
              <w:rPr>
                <w:color w:val="444444"/>
                <w:sz w:val="18"/>
                <w:szCs w:val="18"/>
              </w:rPr>
            </w:pPr>
            <w:r>
              <w:rPr>
                <w:color w:val="444444"/>
                <w:sz w:val="18"/>
                <w:szCs w:val="18"/>
              </w:rPr>
              <w:t>2 Pro účely následujících článků se „stálou provozovnou“ rozumí jakákoli provozovna jiná než sídlo ekonomické činnosti ve smyslu článku 10 tohoto nařízení, která se vyznačuje dostatečnou úrovní stálosti a vhodnou strukturou z hlediska lidských a technických zdrojů, což jí umožňuje poskytovat služby, jejichž poskytnutí zajišťuje:</w:t>
            </w:r>
          </w:p>
          <w:p w:rsidR="00F06E50" w:rsidRDefault="00F06E50" w:rsidP="008818C4">
            <w:pPr>
              <w:spacing w:before="60"/>
              <w:jc w:val="both"/>
              <w:rPr>
                <w:color w:val="444444"/>
                <w:sz w:val="18"/>
                <w:szCs w:val="18"/>
              </w:rPr>
            </w:pPr>
            <w:r>
              <w:rPr>
                <w:color w:val="444444"/>
                <w:sz w:val="18"/>
                <w:szCs w:val="18"/>
              </w:rPr>
              <w:t>c) do 31. prosince 2014 článku 58 směrnice 2006/112/ES;</w:t>
            </w:r>
          </w:p>
        </w:tc>
        <w:tc>
          <w:tcPr>
            <w:tcW w:w="900" w:type="dxa"/>
            <w:tcBorders>
              <w:top w:val="single" w:sz="4" w:space="0" w:color="auto"/>
              <w:left w:val="single" w:sz="18" w:space="0" w:color="auto"/>
              <w:bottom w:val="nil"/>
              <w:right w:val="single" w:sz="4" w:space="0" w:color="auto"/>
            </w:tcBorders>
          </w:tcPr>
          <w:p w:rsidR="00F06E50" w:rsidRDefault="00F06E50">
            <w:pPr>
              <w:rPr>
                <w:sz w:val="18"/>
              </w:rPr>
            </w:pPr>
          </w:p>
        </w:tc>
        <w:tc>
          <w:tcPr>
            <w:tcW w:w="1080" w:type="dxa"/>
            <w:tcBorders>
              <w:top w:val="single" w:sz="4" w:space="0" w:color="auto"/>
              <w:left w:val="single" w:sz="4" w:space="0" w:color="auto"/>
              <w:bottom w:val="nil"/>
              <w:right w:val="single" w:sz="4" w:space="0" w:color="auto"/>
            </w:tcBorders>
          </w:tcPr>
          <w:p w:rsidR="00F06E50" w:rsidRDefault="00F06E50" w:rsidP="00C90555">
            <w:pPr>
              <w:rPr>
                <w:sz w:val="18"/>
              </w:rPr>
            </w:pPr>
          </w:p>
        </w:tc>
        <w:tc>
          <w:tcPr>
            <w:tcW w:w="5400" w:type="dxa"/>
            <w:gridSpan w:val="4"/>
            <w:tcBorders>
              <w:top w:val="single" w:sz="4" w:space="0" w:color="auto"/>
              <w:left w:val="single" w:sz="4" w:space="0" w:color="auto"/>
              <w:bottom w:val="nil"/>
              <w:right w:val="single" w:sz="4" w:space="0" w:color="auto"/>
            </w:tcBorders>
          </w:tcPr>
          <w:p w:rsidR="00F06E50" w:rsidRPr="00721A5F" w:rsidRDefault="00F06E50" w:rsidP="003B061A">
            <w:pPr>
              <w:spacing w:before="60"/>
              <w:jc w:val="both"/>
              <w:rPr>
                <w:sz w:val="18"/>
              </w:rPr>
            </w:pPr>
            <w:r w:rsidRPr="00F06E50">
              <w:rPr>
                <w:i/>
                <w:sz w:val="18"/>
              </w:rPr>
              <w:t xml:space="preserve">Nerelevantní z hlediska adaptace. </w:t>
            </w:r>
            <w:r>
              <w:rPr>
                <w:i/>
                <w:sz w:val="18"/>
              </w:rPr>
              <w:t>Ustanovení pozbylo účinnosti.</w:t>
            </w:r>
            <w:r>
              <w:rPr>
                <w:sz w:val="18"/>
              </w:rPr>
              <w:t xml:space="preserve"> </w:t>
            </w:r>
          </w:p>
        </w:tc>
        <w:tc>
          <w:tcPr>
            <w:tcW w:w="900" w:type="dxa"/>
            <w:tcBorders>
              <w:top w:val="single" w:sz="4" w:space="0" w:color="auto"/>
              <w:left w:val="single" w:sz="4" w:space="0" w:color="auto"/>
              <w:bottom w:val="nil"/>
              <w:right w:val="single" w:sz="4" w:space="0" w:color="auto"/>
            </w:tcBorders>
          </w:tcPr>
          <w:p w:rsidR="00F06E50" w:rsidRPr="00B04349" w:rsidRDefault="00F06E50" w:rsidP="00A21979">
            <w:pPr>
              <w:jc w:val="center"/>
              <w:rPr>
                <w:sz w:val="18"/>
              </w:rPr>
            </w:pPr>
            <w:r>
              <w:rPr>
                <w:sz w:val="18"/>
              </w:rPr>
              <w:t>NA</w:t>
            </w:r>
          </w:p>
        </w:tc>
        <w:tc>
          <w:tcPr>
            <w:tcW w:w="720" w:type="dxa"/>
            <w:tcBorders>
              <w:top w:val="single" w:sz="4" w:space="0" w:color="auto"/>
              <w:left w:val="single" w:sz="4" w:space="0" w:color="auto"/>
              <w:bottom w:val="nil"/>
              <w:right w:val="single" w:sz="4" w:space="0" w:color="auto"/>
            </w:tcBorders>
          </w:tcPr>
          <w:p w:rsidR="00F06E50" w:rsidRDefault="00F06E50">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F06E50">
              <w:rPr>
                <w:sz w:val="18"/>
              </w:rPr>
              <w:t>1 odst. 3</w:t>
            </w:r>
          </w:p>
        </w:tc>
        <w:tc>
          <w:tcPr>
            <w:tcW w:w="5400" w:type="dxa"/>
            <w:gridSpan w:val="4"/>
            <w:tcBorders>
              <w:top w:val="single" w:sz="4" w:space="0" w:color="auto"/>
              <w:left w:val="single" w:sz="4" w:space="0" w:color="auto"/>
              <w:bottom w:val="nil"/>
              <w:right w:val="single" w:sz="18" w:space="0" w:color="auto"/>
            </w:tcBorders>
          </w:tcPr>
          <w:p w:rsidR="002A50DB" w:rsidRDefault="00F06E50" w:rsidP="00F06E50">
            <w:pPr>
              <w:rPr>
                <w:sz w:val="18"/>
              </w:rPr>
            </w:pPr>
            <w:r>
              <w:rPr>
                <w:color w:val="444444"/>
                <w:sz w:val="18"/>
                <w:szCs w:val="18"/>
              </w:rPr>
              <w:t>3. Skutečnost, že má identifikační číslo pro DPH, sama o sobě nepostačuje k tomu, aby se mělo za to, že má osoba povinná k dani stálou provozovnu.</w:t>
            </w:r>
          </w:p>
        </w:tc>
        <w:tc>
          <w:tcPr>
            <w:tcW w:w="900" w:type="dxa"/>
            <w:tcBorders>
              <w:top w:val="single" w:sz="4" w:space="0" w:color="auto"/>
              <w:left w:val="single" w:sz="18" w:space="0" w:color="auto"/>
              <w:bottom w:val="nil"/>
              <w:right w:val="single" w:sz="4" w:space="0" w:color="auto"/>
            </w:tcBorders>
          </w:tcPr>
          <w:p w:rsidR="002A50DB" w:rsidRDefault="002A50DB">
            <w:pPr>
              <w:rPr>
                <w:sz w:val="18"/>
              </w:rPr>
            </w:pPr>
          </w:p>
        </w:tc>
        <w:tc>
          <w:tcPr>
            <w:tcW w:w="1080" w:type="dxa"/>
            <w:tcBorders>
              <w:top w:val="single" w:sz="4" w:space="0" w:color="auto"/>
              <w:left w:val="single" w:sz="4" w:space="0" w:color="auto"/>
              <w:bottom w:val="nil"/>
              <w:right w:val="single" w:sz="4" w:space="0" w:color="auto"/>
            </w:tcBorders>
          </w:tcPr>
          <w:p w:rsidR="002A50DB" w:rsidRDefault="002A50DB">
            <w:pPr>
              <w:rPr>
                <w:sz w:val="18"/>
              </w:rPr>
            </w:pPr>
          </w:p>
        </w:tc>
        <w:tc>
          <w:tcPr>
            <w:tcW w:w="5400" w:type="dxa"/>
            <w:gridSpan w:val="4"/>
            <w:tcBorders>
              <w:top w:val="single" w:sz="4" w:space="0" w:color="auto"/>
              <w:left w:val="single" w:sz="4" w:space="0" w:color="auto"/>
              <w:bottom w:val="nil"/>
              <w:right w:val="single" w:sz="4" w:space="0" w:color="auto"/>
            </w:tcBorders>
          </w:tcPr>
          <w:p w:rsidR="002A50DB" w:rsidRDefault="005C5A7E" w:rsidP="003B061A">
            <w:pPr>
              <w:spacing w:before="60"/>
              <w:jc w:val="both"/>
              <w:rPr>
                <w:sz w:val="18"/>
              </w:rPr>
            </w:pPr>
            <w:r>
              <w:rPr>
                <w:i/>
                <w:sz w:val="18"/>
              </w:rPr>
              <w:t>Nerelevantní z hlediska adaptace. Ustanovení má výkladový charakter pro specifické případy a je přímo použitelné.</w:t>
            </w:r>
            <w:r w:rsidR="00F06E50">
              <w:rPr>
                <w:sz w:val="18"/>
              </w:rPr>
              <w:t xml:space="preserve"> </w:t>
            </w:r>
          </w:p>
        </w:tc>
        <w:tc>
          <w:tcPr>
            <w:tcW w:w="900" w:type="dxa"/>
            <w:tcBorders>
              <w:top w:val="single" w:sz="4" w:space="0" w:color="auto"/>
              <w:left w:val="single" w:sz="4" w:space="0" w:color="auto"/>
              <w:bottom w:val="nil"/>
              <w:right w:val="single" w:sz="4" w:space="0" w:color="auto"/>
            </w:tcBorders>
          </w:tcPr>
          <w:p w:rsidR="002A50DB" w:rsidRDefault="002A50D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D87F52">
        <w:tc>
          <w:tcPr>
            <w:tcW w:w="1440" w:type="dxa"/>
            <w:tcBorders>
              <w:top w:val="single" w:sz="4" w:space="0" w:color="auto"/>
              <w:left w:val="single" w:sz="4" w:space="0" w:color="auto"/>
              <w:bottom w:val="nil"/>
              <w:right w:val="single" w:sz="4" w:space="0" w:color="auto"/>
            </w:tcBorders>
          </w:tcPr>
          <w:p w:rsidR="00D87F52" w:rsidRDefault="00D87F52">
            <w:r w:rsidRPr="003B3E18">
              <w:rPr>
                <w:sz w:val="18"/>
              </w:rPr>
              <w:t>Článek 1</w:t>
            </w:r>
            <w:r>
              <w:rPr>
                <w:sz w:val="18"/>
              </w:rPr>
              <w:t>2</w:t>
            </w:r>
          </w:p>
        </w:tc>
        <w:tc>
          <w:tcPr>
            <w:tcW w:w="5400" w:type="dxa"/>
            <w:gridSpan w:val="4"/>
            <w:tcBorders>
              <w:top w:val="single" w:sz="4" w:space="0" w:color="auto"/>
              <w:left w:val="single" w:sz="4" w:space="0" w:color="auto"/>
              <w:bottom w:val="nil"/>
              <w:right w:val="single" w:sz="18" w:space="0" w:color="auto"/>
            </w:tcBorders>
          </w:tcPr>
          <w:p w:rsidR="00D87F52" w:rsidRDefault="00D87F52">
            <w:pPr>
              <w:rPr>
                <w:sz w:val="18"/>
              </w:rPr>
            </w:pPr>
            <w:r>
              <w:rPr>
                <w:color w:val="444444"/>
                <w:sz w:val="18"/>
                <w:szCs w:val="18"/>
              </w:rPr>
              <w:t>Pro účely směrnice 2006/112/ES se „bydlištěm“ fyzické osoby povinné či nepovinné k dani rozumí adresa vedená v evidenci obyvatelstva či podobné evidenci, nebo adresa, kterou tato osoba uvedla příslušnému správci daně, pokud neexistuje důkaz, že tato adresa neodpovídá skutečnosti.</w:t>
            </w:r>
          </w:p>
        </w:tc>
        <w:tc>
          <w:tcPr>
            <w:tcW w:w="900" w:type="dxa"/>
            <w:tcBorders>
              <w:top w:val="single" w:sz="4" w:space="0" w:color="auto"/>
              <w:left w:val="single" w:sz="18" w:space="0" w:color="auto"/>
              <w:bottom w:val="nil"/>
              <w:right w:val="single" w:sz="4" w:space="0" w:color="auto"/>
            </w:tcBorders>
          </w:tcPr>
          <w:p w:rsidR="00D14AD2" w:rsidRDefault="00D14AD2" w:rsidP="00D14AD2">
            <w:pPr>
              <w:rPr>
                <w:sz w:val="18"/>
              </w:rPr>
            </w:pPr>
            <w:r w:rsidRPr="0098273A">
              <w:rPr>
                <w:sz w:val="18"/>
              </w:rPr>
              <w:t xml:space="preserve">235/2004 ve znění </w:t>
            </w:r>
          </w:p>
          <w:p w:rsidR="00D87F52" w:rsidRDefault="00D14AD2" w:rsidP="00C9573A">
            <w:pPr>
              <w:rPr>
                <w:sz w:val="18"/>
              </w:rPr>
            </w:pPr>
            <w:r>
              <w:rPr>
                <w:sz w:val="18"/>
              </w:rPr>
              <w:t>19</w:t>
            </w:r>
            <w:r w:rsidR="00C9573A">
              <w:rPr>
                <w:sz w:val="18"/>
              </w:rPr>
              <w:t>6</w:t>
            </w:r>
            <w:r>
              <w:rPr>
                <w:sz w:val="18"/>
              </w:rPr>
              <w:t>/2014</w:t>
            </w:r>
            <w:r w:rsidR="00C9573A">
              <w:rPr>
                <w:sz w:val="18"/>
              </w:rPr>
              <w:t xml:space="preserve"> </w:t>
            </w:r>
            <w:r w:rsidRPr="0098273A">
              <w:rPr>
                <w:sz w:val="18"/>
              </w:rPr>
              <w:t>360/2014</w:t>
            </w:r>
          </w:p>
        </w:tc>
        <w:tc>
          <w:tcPr>
            <w:tcW w:w="1080" w:type="dxa"/>
            <w:tcBorders>
              <w:top w:val="single" w:sz="4" w:space="0" w:color="auto"/>
              <w:left w:val="single" w:sz="4" w:space="0" w:color="auto"/>
              <w:bottom w:val="nil"/>
              <w:right w:val="single" w:sz="4" w:space="0" w:color="auto"/>
            </w:tcBorders>
          </w:tcPr>
          <w:p w:rsidR="00D87F52" w:rsidRDefault="00D87F52" w:rsidP="00D87F52">
            <w:pPr>
              <w:rPr>
                <w:sz w:val="18"/>
              </w:rPr>
            </w:pPr>
            <w:r>
              <w:rPr>
                <w:sz w:val="18"/>
              </w:rPr>
              <w:t>§ 4 odst. 1 písm. h) bod 1</w:t>
            </w:r>
          </w:p>
        </w:tc>
        <w:tc>
          <w:tcPr>
            <w:tcW w:w="5400" w:type="dxa"/>
            <w:gridSpan w:val="4"/>
            <w:tcBorders>
              <w:top w:val="single" w:sz="4" w:space="0" w:color="auto"/>
              <w:left w:val="single" w:sz="4" w:space="0" w:color="auto"/>
              <w:bottom w:val="nil"/>
              <w:right w:val="single" w:sz="4" w:space="0" w:color="auto"/>
            </w:tcBorders>
          </w:tcPr>
          <w:p w:rsidR="00D87F52" w:rsidRDefault="00D87F52" w:rsidP="003B061A">
            <w:pPr>
              <w:spacing w:before="60"/>
              <w:jc w:val="both"/>
              <w:rPr>
                <w:sz w:val="18"/>
              </w:rPr>
            </w:pPr>
            <w:r w:rsidRPr="002A50DB">
              <w:rPr>
                <w:sz w:val="18"/>
              </w:rPr>
              <w:t>Pro účely tohoto zákona se rozumí:</w:t>
            </w:r>
          </w:p>
          <w:p w:rsidR="00D87F52" w:rsidRPr="00D87F52" w:rsidRDefault="00D87F52" w:rsidP="003B061A">
            <w:pPr>
              <w:keepNext/>
              <w:keepLines/>
              <w:widowControl w:val="0"/>
              <w:autoSpaceDE w:val="0"/>
              <w:autoSpaceDN w:val="0"/>
              <w:adjustRightInd w:val="0"/>
              <w:jc w:val="both"/>
              <w:rPr>
                <w:sz w:val="18"/>
                <w:szCs w:val="18"/>
              </w:rPr>
            </w:pPr>
            <w:r w:rsidRPr="00D87F52">
              <w:rPr>
                <w:sz w:val="18"/>
                <w:szCs w:val="18"/>
              </w:rPr>
              <w:t>h) u fyzické osoby</w:t>
            </w:r>
          </w:p>
          <w:p w:rsidR="00D87F52" w:rsidRDefault="00D87F52" w:rsidP="003B061A">
            <w:pPr>
              <w:keepNext/>
              <w:keepLines/>
              <w:widowControl w:val="0"/>
              <w:autoSpaceDE w:val="0"/>
              <w:autoSpaceDN w:val="0"/>
              <w:adjustRightInd w:val="0"/>
              <w:jc w:val="both"/>
              <w:rPr>
                <w:sz w:val="18"/>
              </w:rPr>
            </w:pPr>
            <w:r w:rsidRPr="00D87F52">
              <w:rPr>
                <w:sz w:val="18"/>
                <w:szCs w:val="18"/>
              </w:rPr>
              <w:t>1. bydlištěm adresa vedená v základním registru obyvatel nebo v jiné obdobné evidenci, anebo adresa, kterou fyzická osoba uvedla správci daně, pokud neexistuje důkaz, že tato adresa neodpovídá skutečnosti,</w:t>
            </w:r>
          </w:p>
        </w:tc>
        <w:tc>
          <w:tcPr>
            <w:tcW w:w="900" w:type="dxa"/>
            <w:tcBorders>
              <w:top w:val="single" w:sz="4" w:space="0" w:color="auto"/>
              <w:left w:val="single" w:sz="4" w:space="0" w:color="auto"/>
              <w:bottom w:val="nil"/>
              <w:right w:val="single" w:sz="4" w:space="0" w:color="auto"/>
            </w:tcBorders>
          </w:tcPr>
          <w:p w:rsidR="00D87F52"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D87F52" w:rsidRDefault="00D87F52">
            <w:pPr>
              <w:rPr>
                <w:sz w:val="18"/>
              </w:rPr>
            </w:pPr>
          </w:p>
        </w:tc>
      </w:tr>
      <w:tr w:rsidR="00E312D2">
        <w:tc>
          <w:tcPr>
            <w:tcW w:w="1440" w:type="dxa"/>
            <w:tcBorders>
              <w:top w:val="single" w:sz="4" w:space="0" w:color="auto"/>
              <w:left w:val="single" w:sz="4" w:space="0" w:color="auto"/>
              <w:bottom w:val="nil"/>
              <w:right w:val="single" w:sz="4" w:space="0" w:color="auto"/>
            </w:tcBorders>
          </w:tcPr>
          <w:p w:rsidR="00E312D2" w:rsidRDefault="00E312D2">
            <w:r w:rsidRPr="003B3E18">
              <w:rPr>
                <w:sz w:val="18"/>
              </w:rPr>
              <w:t>Článek 1</w:t>
            </w:r>
            <w:r>
              <w:rPr>
                <w:sz w:val="18"/>
              </w:rPr>
              <w:t>3</w:t>
            </w:r>
          </w:p>
        </w:tc>
        <w:tc>
          <w:tcPr>
            <w:tcW w:w="5400" w:type="dxa"/>
            <w:gridSpan w:val="4"/>
            <w:tcBorders>
              <w:top w:val="single" w:sz="4" w:space="0" w:color="auto"/>
              <w:left w:val="single" w:sz="4" w:space="0" w:color="auto"/>
              <w:bottom w:val="nil"/>
              <w:right w:val="single" w:sz="18" w:space="0" w:color="auto"/>
            </w:tcBorders>
          </w:tcPr>
          <w:p w:rsidR="00E312D2" w:rsidRDefault="00E312D2" w:rsidP="00E312D2">
            <w:pPr>
              <w:shd w:val="clear" w:color="auto" w:fill="FFFFFF"/>
              <w:spacing w:before="60"/>
              <w:jc w:val="both"/>
              <w:rPr>
                <w:color w:val="444444"/>
                <w:sz w:val="18"/>
                <w:szCs w:val="18"/>
              </w:rPr>
            </w:pPr>
            <w:r>
              <w:rPr>
                <w:color w:val="444444"/>
                <w:sz w:val="18"/>
                <w:szCs w:val="18"/>
              </w:rPr>
              <w:t>Místem, kde se fyzická osoba povinná či nepovinná k dani „obvykle zdržuje“, se podle směrnice 2006/112/ES rozumí místo, kde tato fyzická osoba obvykle žije z důvodu osobních a profesních vazeb.</w:t>
            </w:r>
          </w:p>
          <w:p w:rsidR="00E312D2" w:rsidRPr="00E312D2" w:rsidRDefault="00E312D2" w:rsidP="00E312D2">
            <w:pPr>
              <w:shd w:val="clear" w:color="auto" w:fill="FFFFFF"/>
              <w:spacing w:before="60"/>
              <w:jc w:val="both"/>
              <w:rPr>
                <w:color w:val="444444"/>
                <w:sz w:val="18"/>
                <w:szCs w:val="18"/>
              </w:rPr>
            </w:pPr>
            <w:r>
              <w:rPr>
                <w:color w:val="444444"/>
                <w:sz w:val="18"/>
                <w:szCs w:val="18"/>
              </w:rPr>
              <w:t>Pokud má tato osoba profesní vazby v jiné zemi, než ve které má své osobní vazby, nebo pokud profesní vazby nemá, je místo, kde se obvykle zdržuje, určeno osobními vazbami, které ukazují na úzké spojení mezi fyzickou osobou a místem, kde žije.</w:t>
            </w:r>
          </w:p>
        </w:tc>
        <w:tc>
          <w:tcPr>
            <w:tcW w:w="900" w:type="dxa"/>
            <w:tcBorders>
              <w:top w:val="single" w:sz="4" w:space="0" w:color="auto"/>
              <w:left w:val="single" w:sz="18" w:space="0" w:color="auto"/>
              <w:bottom w:val="nil"/>
              <w:right w:val="single" w:sz="4" w:space="0" w:color="auto"/>
            </w:tcBorders>
          </w:tcPr>
          <w:p w:rsidR="00C9573A" w:rsidRDefault="00C9573A" w:rsidP="00C9573A">
            <w:pPr>
              <w:rPr>
                <w:sz w:val="18"/>
              </w:rPr>
            </w:pPr>
            <w:r w:rsidRPr="0098273A">
              <w:rPr>
                <w:sz w:val="18"/>
              </w:rPr>
              <w:t xml:space="preserve">235/2004 ve znění </w:t>
            </w:r>
          </w:p>
          <w:p w:rsidR="00E312D2" w:rsidRDefault="00C9573A" w:rsidP="00C9573A">
            <w:pPr>
              <w:rPr>
                <w:sz w:val="18"/>
              </w:rPr>
            </w:pPr>
            <w:r>
              <w:rPr>
                <w:sz w:val="18"/>
              </w:rPr>
              <w:t xml:space="preserve">196/2014 </w:t>
            </w:r>
            <w:r w:rsidRPr="0098273A">
              <w:rPr>
                <w:sz w:val="18"/>
              </w:rPr>
              <w:t>360/2014</w:t>
            </w:r>
          </w:p>
        </w:tc>
        <w:tc>
          <w:tcPr>
            <w:tcW w:w="1080" w:type="dxa"/>
            <w:tcBorders>
              <w:top w:val="single" w:sz="4" w:space="0" w:color="auto"/>
              <w:left w:val="single" w:sz="4" w:space="0" w:color="auto"/>
              <w:bottom w:val="nil"/>
              <w:right w:val="single" w:sz="4" w:space="0" w:color="auto"/>
            </w:tcBorders>
          </w:tcPr>
          <w:p w:rsidR="00E312D2" w:rsidRDefault="00E312D2" w:rsidP="00C90555">
            <w:pPr>
              <w:rPr>
                <w:sz w:val="18"/>
              </w:rPr>
            </w:pPr>
            <w:r>
              <w:rPr>
                <w:sz w:val="18"/>
              </w:rPr>
              <w:t>§ 4 odst. 1 písm. h) bod 2</w:t>
            </w:r>
          </w:p>
        </w:tc>
        <w:tc>
          <w:tcPr>
            <w:tcW w:w="5400" w:type="dxa"/>
            <w:gridSpan w:val="4"/>
            <w:tcBorders>
              <w:top w:val="single" w:sz="4" w:space="0" w:color="auto"/>
              <w:left w:val="single" w:sz="4" w:space="0" w:color="auto"/>
              <w:bottom w:val="nil"/>
              <w:right w:val="single" w:sz="4" w:space="0" w:color="auto"/>
            </w:tcBorders>
          </w:tcPr>
          <w:p w:rsidR="00E312D2" w:rsidRDefault="00E312D2" w:rsidP="003B061A">
            <w:pPr>
              <w:spacing w:before="60"/>
              <w:jc w:val="both"/>
              <w:rPr>
                <w:sz w:val="18"/>
              </w:rPr>
            </w:pPr>
            <w:r w:rsidRPr="002A50DB">
              <w:rPr>
                <w:sz w:val="18"/>
              </w:rPr>
              <w:t>Pro účely tohoto zákona se rozumí:</w:t>
            </w:r>
          </w:p>
          <w:p w:rsidR="00E312D2" w:rsidRPr="00D87F52" w:rsidRDefault="00E312D2" w:rsidP="003B061A">
            <w:pPr>
              <w:keepNext/>
              <w:keepLines/>
              <w:widowControl w:val="0"/>
              <w:autoSpaceDE w:val="0"/>
              <w:autoSpaceDN w:val="0"/>
              <w:adjustRightInd w:val="0"/>
              <w:jc w:val="both"/>
              <w:rPr>
                <w:sz w:val="18"/>
                <w:szCs w:val="18"/>
              </w:rPr>
            </w:pPr>
            <w:r w:rsidRPr="00D87F52">
              <w:rPr>
                <w:sz w:val="18"/>
                <w:szCs w:val="18"/>
              </w:rPr>
              <w:t>h) u fyzické osoby</w:t>
            </w:r>
          </w:p>
          <w:p w:rsidR="00E312D2" w:rsidRDefault="00E312D2" w:rsidP="003B061A">
            <w:pPr>
              <w:keepNext/>
              <w:keepLines/>
              <w:widowControl w:val="0"/>
              <w:autoSpaceDE w:val="0"/>
              <w:autoSpaceDN w:val="0"/>
              <w:adjustRightInd w:val="0"/>
              <w:jc w:val="both"/>
              <w:rPr>
                <w:sz w:val="18"/>
              </w:rPr>
            </w:pPr>
            <w:r w:rsidRPr="00E312D2">
              <w:rPr>
                <w:sz w:val="18"/>
                <w:szCs w:val="18"/>
              </w:rPr>
              <w:t>2. místem, kde se obvykle zdržuje, místo, kde fyzická osoba obvykle žije z důvodu osobních nebo profesních vazeb; má-li tato osoba profesní vazby v jiné zemi, než ve které má své osobní vazby, je místo, kde se fyzická osoba obvykle zdržuje, určeno osobními vazbami,</w:t>
            </w:r>
          </w:p>
        </w:tc>
        <w:tc>
          <w:tcPr>
            <w:tcW w:w="900" w:type="dxa"/>
            <w:tcBorders>
              <w:top w:val="single" w:sz="4" w:space="0" w:color="auto"/>
              <w:left w:val="single" w:sz="4" w:space="0" w:color="auto"/>
              <w:bottom w:val="nil"/>
              <w:right w:val="single" w:sz="4" w:space="0" w:color="auto"/>
            </w:tcBorders>
          </w:tcPr>
          <w:p w:rsidR="00E312D2"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E312D2" w:rsidRDefault="00E312D2">
            <w:pPr>
              <w:rPr>
                <w:sz w:val="18"/>
              </w:rPr>
            </w:pPr>
          </w:p>
        </w:tc>
      </w:tr>
      <w:tr w:rsidR="002A50DB" w:rsidTr="007D38AA">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7566C3">
              <w:rPr>
                <w:sz w:val="18"/>
              </w:rPr>
              <w:t>4</w:t>
            </w:r>
          </w:p>
        </w:tc>
        <w:tc>
          <w:tcPr>
            <w:tcW w:w="5400" w:type="dxa"/>
            <w:gridSpan w:val="4"/>
            <w:tcBorders>
              <w:top w:val="single" w:sz="4" w:space="0" w:color="auto"/>
              <w:left w:val="single" w:sz="4" w:space="0" w:color="auto"/>
              <w:bottom w:val="nil"/>
              <w:right w:val="single" w:sz="18" w:space="0" w:color="auto"/>
            </w:tcBorders>
          </w:tcPr>
          <w:p w:rsidR="007566C3" w:rsidRDefault="007566C3" w:rsidP="007566C3">
            <w:pPr>
              <w:shd w:val="clear" w:color="auto" w:fill="FFFFFF"/>
              <w:spacing w:before="60"/>
              <w:jc w:val="both"/>
              <w:rPr>
                <w:color w:val="444444"/>
                <w:sz w:val="18"/>
                <w:szCs w:val="18"/>
              </w:rPr>
            </w:pPr>
            <w:r>
              <w:rPr>
                <w:color w:val="444444"/>
                <w:sz w:val="18"/>
                <w:szCs w:val="18"/>
              </w:rPr>
              <w:t>Je-li v průběhu kalendářního roku překročena prahová hodnota uplatňovaná členským státem podle článku 34 směrnice 2006/112/ES, nemění článek 33 uvedené směrnice místo dodání zboží jiného, než jsou výrobky podléhající spotřební dani, které se uskuteční v průběhu téhož kalendářního roku před překročením prahové hodnoty uplatňované členským státem pro běžný kalendářní rok, a to pod podmínkou, že jsou splněny všechny tyto podmínky:</w:t>
            </w:r>
          </w:p>
          <w:p w:rsidR="007566C3" w:rsidRDefault="007566C3" w:rsidP="00F018D6">
            <w:pPr>
              <w:jc w:val="both"/>
              <w:rPr>
                <w:color w:val="444444"/>
                <w:sz w:val="18"/>
                <w:szCs w:val="18"/>
              </w:rPr>
            </w:pPr>
            <w:r>
              <w:rPr>
                <w:color w:val="444444"/>
                <w:sz w:val="18"/>
                <w:szCs w:val="18"/>
              </w:rPr>
              <w:t>a) dodavatel nevyužil možnost volby stanovenou podle čl. 34 odst. 4 uvedené směrnice;</w:t>
            </w:r>
          </w:p>
          <w:p w:rsidR="007566C3" w:rsidRDefault="007566C3" w:rsidP="00F018D6">
            <w:pPr>
              <w:jc w:val="both"/>
              <w:rPr>
                <w:color w:val="444444"/>
                <w:sz w:val="18"/>
                <w:szCs w:val="18"/>
              </w:rPr>
            </w:pPr>
            <w:r>
              <w:rPr>
                <w:color w:val="444444"/>
                <w:sz w:val="18"/>
                <w:szCs w:val="18"/>
              </w:rPr>
              <w:t>b) hodnota jeho dodání zboží nepřekročila v průběhu předcházejícího kalendářního roku prahovou hodnotu.</w:t>
            </w:r>
          </w:p>
          <w:p w:rsidR="007566C3" w:rsidRDefault="007566C3" w:rsidP="007566C3">
            <w:pPr>
              <w:shd w:val="clear" w:color="auto" w:fill="FFFFFF"/>
              <w:spacing w:before="60"/>
              <w:jc w:val="both"/>
              <w:rPr>
                <w:color w:val="444444"/>
                <w:sz w:val="18"/>
                <w:szCs w:val="18"/>
              </w:rPr>
            </w:pPr>
            <w:r>
              <w:rPr>
                <w:color w:val="444444"/>
                <w:sz w:val="18"/>
                <w:szCs w:val="18"/>
              </w:rPr>
              <w:t>Ustanovení článku 33 směrnice 2006/112/ES však mění místo těchto dodání do členského státu, ve kterém jsou odeslání či přeprava ukončeny:</w:t>
            </w:r>
          </w:p>
          <w:p w:rsidR="007566C3" w:rsidRDefault="007566C3" w:rsidP="00F018D6">
            <w:pPr>
              <w:jc w:val="both"/>
              <w:rPr>
                <w:color w:val="444444"/>
                <w:sz w:val="18"/>
                <w:szCs w:val="18"/>
              </w:rPr>
            </w:pPr>
            <w:r>
              <w:rPr>
                <w:color w:val="444444"/>
                <w:sz w:val="18"/>
                <w:szCs w:val="18"/>
              </w:rPr>
              <w:t>a) dodání zboží, kterým byla v běžném kalendářním roce překročena prahová hodnota uplatňovaná členským státem v průběhu téhož kalendářního roku;</w:t>
            </w:r>
          </w:p>
          <w:p w:rsidR="007566C3" w:rsidRDefault="007566C3" w:rsidP="00F018D6">
            <w:pPr>
              <w:jc w:val="both"/>
              <w:rPr>
                <w:color w:val="444444"/>
                <w:sz w:val="18"/>
                <w:szCs w:val="18"/>
              </w:rPr>
            </w:pPr>
            <w:r>
              <w:rPr>
                <w:color w:val="444444"/>
                <w:sz w:val="18"/>
                <w:szCs w:val="18"/>
              </w:rPr>
              <w:t>b) veškerá pozdější dodání zboží uskutečněná v tomto členském státě v průběhu uvedeného kalendářního roku;</w:t>
            </w:r>
          </w:p>
          <w:p w:rsidR="002A50DB" w:rsidRPr="007566C3" w:rsidRDefault="007566C3" w:rsidP="00F018D6">
            <w:pPr>
              <w:jc w:val="both"/>
              <w:rPr>
                <w:color w:val="444444"/>
                <w:sz w:val="18"/>
                <w:szCs w:val="18"/>
              </w:rPr>
            </w:pPr>
            <w:r>
              <w:rPr>
                <w:color w:val="444444"/>
                <w:sz w:val="18"/>
                <w:szCs w:val="18"/>
              </w:rPr>
              <w:t>c) dodání zboží uskutečněná v tomto členském státě v průběhu kalendářního roku, který následuje po kalendářním roce, v jehož průběhu došlo k události uvedené v písmenu a).</w:t>
            </w:r>
          </w:p>
        </w:tc>
        <w:tc>
          <w:tcPr>
            <w:tcW w:w="900" w:type="dxa"/>
            <w:tcBorders>
              <w:top w:val="single" w:sz="4" w:space="0" w:color="auto"/>
              <w:left w:val="single" w:sz="18" w:space="0" w:color="auto"/>
              <w:bottom w:val="nil"/>
              <w:right w:val="single" w:sz="4" w:space="0" w:color="auto"/>
            </w:tcBorders>
          </w:tcPr>
          <w:p w:rsidR="002A50DB" w:rsidRDefault="00F018D6">
            <w:pPr>
              <w:rPr>
                <w:sz w:val="18"/>
              </w:rPr>
            </w:pPr>
            <w:r w:rsidRPr="00F018D6">
              <w:rPr>
                <w:sz w:val="18"/>
              </w:rPr>
              <w:t>235/2004 ve znění 502/2012</w:t>
            </w:r>
          </w:p>
        </w:tc>
        <w:tc>
          <w:tcPr>
            <w:tcW w:w="1080" w:type="dxa"/>
            <w:tcBorders>
              <w:top w:val="single" w:sz="4" w:space="0" w:color="auto"/>
              <w:left w:val="single" w:sz="4" w:space="0" w:color="auto"/>
              <w:bottom w:val="nil"/>
              <w:right w:val="single" w:sz="4" w:space="0" w:color="auto"/>
            </w:tcBorders>
          </w:tcPr>
          <w:p w:rsidR="002A50DB" w:rsidRDefault="00A80B41">
            <w:pPr>
              <w:rPr>
                <w:sz w:val="18"/>
              </w:rPr>
            </w:pPr>
            <w:r>
              <w:rPr>
                <w:sz w:val="18"/>
              </w:rPr>
              <w:t>§ 8 odst. 2</w:t>
            </w:r>
            <w:r w:rsidR="00AB2CE0">
              <w:rPr>
                <w:sz w:val="18"/>
              </w:rPr>
              <w:t xml:space="preserve"> a 3</w:t>
            </w:r>
          </w:p>
        </w:tc>
        <w:tc>
          <w:tcPr>
            <w:tcW w:w="5400" w:type="dxa"/>
            <w:gridSpan w:val="4"/>
            <w:tcBorders>
              <w:top w:val="single" w:sz="4" w:space="0" w:color="auto"/>
              <w:left w:val="single" w:sz="4" w:space="0" w:color="auto"/>
              <w:bottom w:val="nil"/>
              <w:right w:val="single" w:sz="4" w:space="0" w:color="auto"/>
            </w:tcBorders>
          </w:tcPr>
          <w:p w:rsidR="00A80B41" w:rsidRPr="00A80B41" w:rsidRDefault="00A80B41" w:rsidP="003B061A">
            <w:pPr>
              <w:jc w:val="both"/>
              <w:rPr>
                <w:sz w:val="18"/>
              </w:rPr>
            </w:pPr>
            <w:r w:rsidRPr="00A80B41">
              <w:rPr>
                <w:sz w:val="18"/>
              </w:rPr>
              <w:t xml:space="preserve">(2) Místem plnění při zasílání zboží je místo, kde se zboží nachází v době, kdy jeho odeslání nebo přeprava začíná, pokud </w:t>
            </w:r>
          </w:p>
          <w:p w:rsidR="00A80B41" w:rsidRPr="00A80B41" w:rsidRDefault="00A80B41" w:rsidP="003B061A">
            <w:pPr>
              <w:jc w:val="both"/>
              <w:rPr>
                <w:sz w:val="18"/>
              </w:rPr>
            </w:pPr>
            <w:r w:rsidRPr="00A80B41">
              <w:rPr>
                <w:sz w:val="18"/>
              </w:rPr>
              <w:t xml:space="preserve">a) zasílané zboží není předmětem spotřební daně a </w:t>
            </w:r>
          </w:p>
          <w:p w:rsidR="00A80B41" w:rsidRPr="00A80B41" w:rsidRDefault="00A80B41" w:rsidP="003B061A">
            <w:pPr>
              <w:jc w:val="both"/>
              <w:rPr>
                <w:sz w:val="18"/>
              </w:rPr>
            </w:pPr>
            <w:r w:rsidRPr="00A80B41">
              <w:rPr>
                <w:sz w:val="18"/>
              </w:rPr>
              <w:t xml:space="preserve">b) celková hodnota zboží, které osoba povinná k dani zaslala do členského státu ukončení odeslání nebo přepravy zboží, bez daně nepřekročila v příslušném ani bezprostředně předcházejícím kalendářním roce </w:t>
            </w:r>
          </w:p>
          <w:p w:rsidR="00A80B41" w:rsidRPr="00A80B41" w:rsidRDefault="00A80B41" w:rsidP="003B061A">
            <w:pPr>
              <w:jc w:val="both"/>
              <w:rPr>
                <w:sz w:val="18"/>
              </w:rPr>
            </w:pPr>
            <w:r w:rsidRPr="00A80B41">
              <w:rPr>
                <w:sz w:val="18"/>
              </w:rPr>
              <w:t>1. 1</w:t>
            </w:r>
            <w:r w:rsidR="003828CB">
              <w:rPr>
                <w:sz w:val="18"/>
              </w:rPr>
              <w:t> </w:t>
            </w:r>
            <w:r w:rsidRPr="00A80B41">
              <w:rPr>
                <w:sz w:val="18"/>
              </w:rPr>
              <w:t>140</w:t>
            </w:r>
            <w:r w:rsidR="003828CB">
              <w:rPr>
                <w:sz w:val="18"/>
              </w:rPr>
              <w:t> </w:t>
            </w:r>
            <w:r w:rsidRPr="00A80B41">
              <w:rPr>
                <w:sz w:val="18"/>
              </w:rPr>
              <w:t xml:space="preserve">000 Kč, je-li zboží odesláno nebo přepraveno z jiného členského státu do tuzemska, nebo </w:t>
            </w:r>
          </w:p>
          <w:p w:rsidR="00A80B41" w:rsidRPr="00A80B41" w:rsidRDefault="00A80B41" w:rsidP="003B061A">
            <w:pPr>
              <w:jc w:val="both"/>
              <w:rPr>
                <w:sz w:val="18"/>
              </w:rPr>
            </w:pPr>
            <w:r w:rsidRPr="00A80B41">
              <w:rPr>
                <w:sz w:val="18"/>
              </w:rPr>
              <w:t xml:space="preserve">2. částku stanovenou jiným členským státem, je-li zboží odesláno nebo přepraveno z tuzemska do jiného členského státu. </w:t>
            </w:r>
          </w:p>
          <w:p w:rsidR="002A50DB" w:rsidRDefault="00A80B41" w:rsidP="003B061A">
            <w:pPr>
              <w:jc w:val="both"/>
              <w:rPr>
                <w:sz w:val="18"/>
              </w:rPr>
            </w:pPr>
            <w:r w:rsidRPr="00A80B41">
              <w:rPr>
                <w:sz w:val="18"/>
              </w:rPr>
              <w:t>(3) Osoba povinná k dani, která zboží zasílá, se může v případě splnění podmínek podle odstavce 2 rozhodnout, že místem plnění při zasílání zboží je místo, kde se zboží nachází po ukončení jeho odeslání nebo přepravy. V takovém případě je povinna tak postupovat do konce kalendářního roku bezprostředně následujícího po kalendářním roce, ve kterém se takto rozhodla.</w:t>
            </w:r>
          </w:p>
        </w:tc>
        <w:tc>
          <w:tcPr>
            <w:tcW w:w="900" w:type="dxa"/>
            <w:tcBorders>
              <w:top w:val="single" w:sz="4" w:space="0" w:color="auto"/>
              <w:left w:val="single" w:sz="4" w:space="0" w:color="auto"/>
              <w:bottom w:val="nil"/>
              <w:right w:val="single" w:sz="4" w:space="0" w:color="auto"/>
            </w:tcBorders>
          </w:tcPr>
          <w:p w:rsidR="002A50DB"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2A50DB" w:rsidTr="007D38AA">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3828CB">
              <w:rPr>
                <w:sz w:val="18"/>
              </w:rPr>
              <w:t>5</w:t>
            </w:r>
          </w:p>
        </w:tc>
        <w:tc>
          <w:tcPr>
            <w:tcW w:w="5400" w:type="dxa"/>
            <w:gridSpan w:val="4"/>
            <w:tcBorders>
              <w:top w:val="single" w:sz="4" w:space="0" w:color="auto"/>
              <w:left w:val="single" w:sz="4" w:space="0" w:color="auto"/>
              <w:bottom w:val="nil"/>
              <w:right w:val="single" w:sz="18" w:space="0" w:color="auto"/>
            </w:tcBorders>
          </w:tcPr>
          <w:p w:rsidR="002A50DB" w:rsidRDefault="003828CB" w:rsidP="003828CB">
            <w:pPr>
              <w:spacing w:before="60"/>
              <w:jc w:val="both"/>
              <w:rPr>
                <w:sz w:val="18"/>
              </w:rPr>
            </w:pPr>
            <w:r>
              <w:rPr>
                <w:color w:val="444444"/>
                <w:sz w:val="18"/>
                <w:szCs w:val="18"/>
              </w:rPr>
              <w:t>Úsek přepravy cestujících uskutečněný ve Společenství uvedený v článku 37 směrnice 2006/112/ES je určen cestou dopravních prostředků, a nikoliv cestou uskutečněnou každým z cestujících.</w:t>
            </w:r>
          </w:p>
        </w:tc>
        <w:tc>
          <w:tcPr>
            <w:tcW w:w="900" w:type="dxa"/>
            <w:tcBorders>
              <w:top w:val="single" w:sz="4" w:space="0" w:color="auto"/>
              <w:left w:val="single" w:sz="18" w:space="0" w:color="auto"/>
              <w:bottom w:val="nil"/>
              <w:right w:val="single" w:sz="4" w:space="0" w:color="auto"/>
            </w:tcBorders>
          </w:tcPr>
          <w:p w:rsidR="002A50DB" w:rsidRDefault="002A50DB">
            <w:pPr>
              <w:rPr>
                <w:sz w:val="18"/>
              </w:rPr>
            </w:pPr>
          </w:p>
        </w:tc>
        <w:tc>
          <w:tcPr>
            <w:tcW w:w="1080" w:type="dxa"/>
            <w:tcBorders>
              <w:top w:val="single" w:sz="4" w:space="0" w:color="auto"/>
              <w:left w:val="single" w:sz="4" w:space="0" w:color="auto"/>
              <w:bottom w:val="nil"/>
              <w:right w:val="single" w:sz="4" w:space="0" w:color="auto"/>
            </w:tcBorders>
          </w:tcPr>
          <w:p w:rsidR="002A50DB" w:rsidRDefault="002A50DB">
            <w:pPr>
              <w:rPr>
                <w:sz w:val="18"/>
              </w:rPr>
            </w:pPr>
          </w:p>
        </w:tc>
        <w:tc>
          <w:tcPr>
            <w:tcW w:w="5400" w:type="dxa"/>
            <w:gridSpan w:val="4"/>
            <w:tcBorders>
              <w:top w:val="single" w:sz="4" w:space="0" w:color="auto"/>
              <w:left w:val="single" w:sz="4" w:space="0" w:color="auto"/>
              <w:bottom w:val="nil"/>
              <w:right w:val="single" w:sz="4" w:space="0" w:color="auto"/>
            </w:tcBorders>
          </w:tcPr>
          <w:p w:rsidR="002A50DB"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2A50DB" w:rsidRDefault="002A50D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3828CB">
              <w:rPr>
                <w:sz w:val="18"/>
              </w:rPr>
              <w:t>6</w:t>
            </w:r>
          </w:p>
        </w:tc>
        <w:tc>
          <w:tcPr>
            <w:tcW w:w="5400" w:type="dxa"/>
            <w:gridSpan w:val="4"/>
            <w:tcBorders>
              <w:top w:val="single" w:sz="4" w:space="0" w:color="auto"/>
              <w:left w:val="single" w:sz="4" w:space="0" w:color="auto"/>
              <w:bottom w:val="nil"/>
              <w:right w:val="single" w:sz="18" w:space="0" w:color="auto"/>
            </w:tcBorders>
          </w:tcPr>
          <w:p w:rsidR="003828CB" w:rsidRDefault="003828CB" w:rsidP="003828CB">
            <w:pPr>
              <w:shd w:val="clear" w:color="auto" w:fill="FFFFFF"/>
              <w:spacing w:before="60"/>
              <w:jc w:val="both"/>
              <w:rPr>
                <w:color w:val="444444"/>
                <w:sz w:val="18"/>
                <w:szCs w:val="18"/>
              </w:rPr>
            </w:pPr>
            <w:r>
              <w:rPr>
                <w:color w:val="444444"/>
                <w:sz w:val="18"/>
                <w:szCs w:val="18"/>
              </w:rPr>
              <w:t>Uskutečnilo-li se pořízení zboží uvnitř Společenství ve smyslu článku 20 směrnice 2006/112/ES, členský stát, ve kterém jsou odeslání či přeprava zboží ukončeny, uplatní své právo na zdanění bez ohledu na režim, jemuž plnění z hlediska DPH podléhá v členském státě, ve kterém odeslání nebo přeprava začaly.</w:t>
            </w:r>
          </w:p>
          <w:p w:rsidR="002A50DB" w:rsidRDefault="003828CB" w:rsidP="003828CB">
            <w:pPr>
              <w:rPr>
                <w:sz w:val="18"/>
              </w:rPr>
            </w:pPr>
            <w:r>
              <w:rPr>
                <w:color w:val="444444"/>
                <w:sz w:val="18"/>
                <w:szCs w:val="18"/>
              </w:rPr>
              <w:t>Každou žádost dodavatele zboží o opravu DPH, kterou fakturoval a přiznal členskému státu, ve kterém odeslání nebo přeprava zboží začaly, tento členský stát posuzuje v souladu se svými vnitrostátními právními předpisy.</w:t>
            </w:r>
          </w:p>
        </w:tc>
        <w:tc>
          <w:tcPr>
            <w:tcW w:w="900" w:type="dxa"/>
            <w:tcBorders>
              <w:top w:val="single" w:sz="4" w:space="0" w:color="auto"/>
              <w:left w:val="single" w:sz="18" w:space="0" w:color="auto"/>
              <w:bottom w:val="nil"/>
              <w:right w:val="single" w:sz="4" w:space="0" w:color="auto"/>
            </w:tcBorders>
          </w:tcPr>
          <w:p w:rsidR="002A50DB" w:rsidRDefault="002A50DB">
            <w:pPr>
              <w:rPr>
                <w:sz w:val="18"/>
              </w:rPr>
            </w:pPr>
          </w:p>
        </w:tc>
        <w:tc>
          <w:tcPr>
            <w:tcW w:w="1080" w:type="dxa"/>
            <w:tcBorders>
              <w:top w:val="single" w:sz="4" w:space="0" w:color="auto"/>
              <w:left w:val="single" w:sz="4" w:space="0" w:color="auto"/>
              <w:bottom w:val="nil"/>
              <w:right w:val="single" w:sz="4" w:space="0" w:color="auto"/>
            </w:tcBorders>
          </w:tcPr>
          <w:p w:rsidR="002A50DB" w:rsidRDefault="002A50DB">
            <w:pPr>
              <w:rPr>
                <w:sz w:val="18"/>
              </w:rPr>
            </w:pPr>
          </w:p>
        </w:tc>
        <w:tc>
          <w:tcPr>
            <w:tcW w:w="5400" w:type="dxa"/>
            <w:gridSpan w:val="4"/>
            <w:tcBorders>
              <w:top w:val="single" w:sz="4" w:space="0" w:color="auto"/>
              <w:left w:val="single" w:sz="4" w:space="0" w:color="auto"/>
              <w:bottom w:val="nil"/>
              <w:right w:val="single" w:sz="4" w:space="0" w:color="auto"/>
            </w:tcBorders>
          </w:tcPr>
          <w:p w:rsidR="002A50DB"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2A50DB" w:rsidRDefault="002A50D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876292">
              <w:rPr>
                <w:sz w:val="18"/>
              </w:rPr>
              <w:t>7 odst. 1</w:t>
            </w:r>
          </w:p>
        </w:tc>
        <w:tc>
          <w:tcPr>
            <w:tcW w:w="5400" w:type="dxa"/>
            <w:gridSpan w:val="4"/>
            <w:tcBorders>
              <w:top w:val="single" w:sz="4" w:space="0" w:color="auto"/>
              <w:left w:val="single" w:sz="4" w:space="0" w:color="auto"/>
              <w:bottom w:val="nil"/>
              <w:right w:val="single" w:sz="18" w:space="0" w:color="auto"/>
            </w:tcBorders>
          </w:tcPr>
          <w:p w:rsidR="002A50DB" w:rsidRDefault="003828CB" w:rsidP="00876292">
            <w:pPr>
              <w:jc w:val="both"/>
              <w:rPr>
                <w:sz w:val="18"/>
              </w:rPr>
            </w:pPr>
            <w:r>
              <w:rPr>
                <w:color w:val="444444"/>
                <w:sz w:val="18"/>
                <w:szCs w:val="18"/>
              </w:rPr>
              <w:t>1. Pokud místo poskytnutí služby závisí na tom, zda je příjemce osobou povinnou či nepovinnou k dani, určí se status příjemce na základě článků 9 až 13 a článku 43 směrnice 2006/112/ES.</w:t>
            </w:r>
          </w:p>
        </w:tc>
        <w:tc>
          <w:tcPr>
            <w:tcW w:w="900" w:type="dxa"/>
            <w:tcBorders>
              <w:top w:val="single" w:sz="4" w:space="0" w:color="auto"/>
              <w:left w:val="single" w:sz="18" w:space="0" w:color="auto"/>
              <w:bottom w:val="nil"/>
              <w:right w:val="single" w:sz="4" w:space="0" w:color="auto"/>
            </w:tcBorders>
          </w:tcPr>
          <w:p w:rsidR="002A50DB" w:rsidRDefault="00E3401C" w:rsidP="00E3401C">
            <w:pPr>
              <w:rPr>
                <w:sz w:val="18"/>
              </w:rPr>
            </w:pPr>
            <w:r w:rsidRPr="00E3401C">
              <w:rPr>
                <w:sz w:val="18"/>
              </w:rPr>
              <w:t>235/2004 ve znění 489/2009 80/2019</w:t>
            </w:r>
          </w:p>
        </w:tc>
        <w:tc>
          <w:tcPr>
            <w:tcW w:w="1080" w:type="dxa"/>
            <w:tcBorders>
              <w:top w:val="single" w:sz="4" w:space="0" w:color="auto"/>
              <w:left w:val="single" w:sz="4" w:space="0" w:color="auto"/>
              <w:bottom w:val="nil"/>
              <w:right w:val="single" w:sz="4" w:space="0" w:color="auto"/>
            </w:tcBorders>
          </w:tcPr>
          <w:p w:rsidR="002A50DB" w:rsidRDefault="00876292">
            <w:pPr>
              <w:rPr>
                <w:sz w:val="18"/>
              </w:rPr>
            </w:pPr>
            <w:r>
              <w:rPr>
                <w:sz w:val="18"/>
              </w:rPr>
              <w:t>§ 9 odst. 3 písm. a)</w:t>
            </w:r>
          </w:p>
        </w:tc>
        <w:tc>
          <w:tcPr>
            <w:tcW w:w="5400" w:type="dxa"/>
            <w:gridSpan w:val="4"/>
            <w:tcBorders>
              <w:top w:val="single" w:sz="4" w:space="0" w:color="auto"/>
              <w:left w:val="single" w:sz="4" w:space="0" w:color="auto"/>
              <w:bottom w:val="nil"/>
              <w:right w:val="single" w:sz="4" w:space="0" w:color="auto"/>
            </w:tcBorders>
          </w:tcPr>
          <w:p w:rsidR="002A50DB" w:rsidRDefault="00876292" w:rsidP="003B061A">
            <w:pPr>
              <w:jc w:val="both"/>
              <w:rPr>
                <w:sz w:val="18"/>
              </w:rPr>
            </w:pPr>
            <w:r w:rsidRPr="00876292">
              <w:rPr>
                <w:sz w:val="18"/>
              </w:rPr>
              <w:t>Pro účely stanovení místa plnění při poskytnutí služby se za osobu povinnou k dani, která jedná jako taková, považuje</w:t>
            </w:r>
          </w:p>
          <w:p w:rsidR="00876292" w:rsidRDefault="00876292" w:rsidP="003B061A">
            <w:pPr>
              <w:jc w:val="both"/>
              <w:rPr>
                <w:sz w:val="18"/>
              </w:rPr>
            </w:pPr>
            <w:r w:rsidRPr="00876292">
              <w:rPr>
                <w:sz w:val="18"/>
              </w:rPr>
              <w:t>a) osoba povinná k dani ve vztahu ke všem službám, které jí jsou poskytnuty, i když jsou poskytnuty pro činnost, která není předmětem daně,</w:t>
            </w:r>
          </w:p>
        </w:tc>
        <w:tc>
          <w:tcPr>
            <w:tcW w:w="900" w:type="dxa"/>
            <w:tcBorders>
              <w:top w:val="single" w:sz="4" w:space="0" w:color="auto"/>
              <w:left w:val="single" w:sz="4" w:space="0" w:color="auto"/>
              <w:bottom w:val="nil"/>
              <w:right w:val="single" w:sz="4" w:space="0" w:color="auto"/>
            </w:tcBorders>
          </w:tcPr>
          <w:p w:rsidR="002A50DB"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sidP="00E3401C">
            <w:r w:rsidRPr="003B3E18">
              <w:rPr>
                <w:sz w:val="18"/>
              </w:rPr>
              <w:t>Článek 1</w:t>
            </w:r>
            <w:r w:rsidR="00E3401C">
              <w:rPr>
                <w:sz w:val="18"/>
              </w:rPr>
              <w:t>7</w:t>
            </w:r>
            <w:r w:rsidR="00876292">
              <w:rPr>
                <w:sz w:val="18"/>
              </w:rPr>
              <w:t xml:space="preserve"> odst. 2</w:t>
            </w:r>
          </w:p>
        </w:tc>
        <w:tc>
          <w:tcPr>
            <w:tcW w:w="5400" w:type="dxa"/>
            <w:gridSpan w:val="4"/>
            <w:tcBorders>
              <w:top w:val="single" w:sz="4" w:space="0" w:color="auto"/>
              <w:left w:val="single" w:sz="4" w:space="0" w:color="auto"/>
              <w:bottom w:val="nil"/>
              <w:right w:val="single" w:sz="18" w:space="0" w:color="auto"/>
            </w:tcBorders>
          </w:tcPr>
          <w:p w:rsidR="002A50DB" w:rsidRDefault="00876292" w:rsidP="00876292">
            <w:pPr>
              <w:jc w:val="both"/>
              <w:rPr>
                <w:sz w:val="18"/>
              </w:rPr>
            </w:pPr>
            <w:r>
              <w:rPr>
                <w:color w:val="444444"/>
                <w:sz w:val="18"/>
                <w:szCs w:val="18"/>
              </w:rPr>
              <w:t>2. Právnická osoba nepovinná k dani, která je nebo má povinnost být identifikována pro účely DPH podle čl. 214 odst. 1 písm. b) směrnice 2006/112/ES, neboť její pořízení zboží uvnitř Společenství je předmětem DPH nebo z toho důvodu, že tato osoba využila možnost učinit tato plnění předmětem DPH, je osobou povinnou k dani ve smyslu článku 43 uvedené směrnice.</w:t>
            </w:r>
          </w:p>
        </w:tc>
        <w:tc>
          <w:tcPr>
            <w:tcW w:w="900" w:type="dxa"/>
            <w:tcBorders>
              <w:top w:val="single" w:sz="4" w:space="0" w:color="auto"/>
              <w:left w:val="single" w:sz="18" w:space="0" w:color="auto"/>
              <w:bottom w:val="nil"/>
              <w:right w:val="single" w:sz="4" w:space="0" w:color="auto"/>
            </w:tcBorders>
          </w:tcPr>
          <w:p w:rsidR="002A50DB" w:rsidRDefault="00E3401C">
            <w:pPr>
              <w:rPr>
                <w:sz w:val="18"/>
              </w:rPr>
            </w:pPr>
            <w:r w:rsidRPr="00E3401C">
              <w:rPr>
                <w:sz w:val="18"/>
              </w:rPr>
              <w:t>235/2004 ve znění 489/2009 502/2012 80/2019</w:t>
            </w:r>
          </w:p>
        </w:tc>
        <w:tc>
          <w:tcPr>
            <w:tcW w:w="1080" w:type="dxa"/>
            <w:tcBorders>
              <w:top w:val="single" w:sz="4" w:space="0" w:color="auto"/>
              <w:left w:val="single" w:sz="4" w:space="0" w:color="auto"/>
              <w:bottom w:val="nil"/>
              <w:right w:val="single" w:sz="4" w:space="0" w:color="auto"/>
            </w:tcBorders>
          </w:tcPr>
          <w:p w:rsidR="002A50DB" w:rsidRDefault="00876292">
            <w:pPr>
              <w:rPr>
                <w:sz w:val="18"/>
              </w:rPr>
            </w:pPr>
            <w:r>
              <w:rPr>
                <w:sz w:val="18"/>
              </w:rPr>
              <w:t>§ 9 odst. 3 písm. b)</w:t>
            </w:r>
          </w:p>
        </w:tc>
        <w:tc>
          <w:tcPr>
            <w:tcW w:w="5400" w:type="dxa"/>
            <w:gridSpan w:val="4"/>
            <w:tcBorders>
              <w:top w:val="single" w:sz="4" w:space="0" w:color="auto"/>
              <w:left w:val="single" w:sz="4" w:space="0" w:color="auto"/>
              <w:bottom w:val="nil"/>
              <w:right w:val="single" w:sz="4" w:space="0" w:color="auto"/>
            </w:tcBorders>
          </w:tcPr>
          <w:p w:rsidR="00876292" w:rsidRDefault="00876292" w:rsidP="003B061A">
            <w:pPr>
              <w:jc w:val="both"/>
              <w:rPr>
                <w:sz w:val="18"/>
              </w:rPr>
            </w:pPr>
            <w:r w:rsidRPr="00876292">
              <w:rPr>
                <w:sz w:val="18"/>
              </w:rPr>
              <w:t>Pro účely stanovení místa plnění při poskytnutí služby se za osobu povinnou k dani, která jedná jako taková, považuje</w:t>
            </w:r>
          </w:p>
          <w:p w:rsidR="002A50DB" w:rsidRDefault="00876292" w:rsidP="003B061A">
            <w:pPr>
              <w:jc w:val="both"/>
              <w:rPr>
                <w:sz w:val="18"/>
              </w:rPr>
            </w:pPr>
            <w:r w:rsidRPr="00876292">
              <w:rPr>
                <w:sz w:val="18"/>
              </w:rPr>
              <w:t>b) právnická osoba nepovinná k dani, která je identifikovanou osobou nebo osobou registrovanou k dani v jiném členském státě.</w:t>
            </w:r>
          </w:p>
        </w:tc>
        <w:tc>
          <w:tcPr>
            <w:tcW w:w="900" w:type="dxa"/>
            <w:tcBorders>
              <w:top w:val="single" w:sz="4" w:space="0" w:color="auto"/>
              <w:left w:val="single" w:sz="4" w:space="0" w:color="auto"/>
              <w:bottom w:val="nil"/>
              <w:right w:val="single" w:sz="4" w:space="0" w:color="auto"/>
            </w:tcBorders>
          </w:tcPr>
          <w:p w:rsidR="002A50DB"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E3401C">
              <w:rPr>
                <w:sz w:val="18"/>
              </w:rPr>
              <w:t>8</w:t>
            </w:r>
            <w:r w:rsidR="00462397">
              <w:rPr>
                <w:sz w:val="18"/>
              </w:rPr>
              <w:t xml:space="preserve"> odst. 1</w:t>
            </w:r>
          </w:p>
        </w:tc>
        <w:tc>
          <w:tcPr>
            <w:tcW w:w="5400" w:type="dxa"/>
            <w:gridSpan w:val="4"/>
            <w:tcBorders>
              <w:top w:val="single" w:sz="4" w:space="0" w:color="auto"/>
              <w:left w:val="single" w:sz="4" w:space="0" w:color="auto"/>
              <w:bottom w:val="nil"/>
              <w:right w:val="single" w:sz="18" w:space="0" w:color="auto"/>
            </w:tcBorders>
          </w:tcPr>
          <w:p w:rsidR="00E3401C" w:rsidRDefault="00E3401C" w:rsidP="00E3401C">
            <w:pPr>
              <w:shd w:val="clear" w:color="auto" w:fill="FFFFFF"/>
              <w:spacing w:before="60"/>
              <w:jc w:val="both"/>
              <w:rPr>
                <w:color w:val="444444"/>
                <w:sz w:val="18"/>
                <w:szCs w:val="18"/>
              </w:rPr>
            </w:pPr>
            <w:r>
              <w:rPr>
                <w:color w:val="444444"/>
                <w:sz w:val="18"/>
                <w:szCs w:val="18"/>
              </w:rPr>
              <w:t>1. Poskytovatel může, nemá-li informace o opaku, považovat příjemce usazeného ve Společenství za osobu povinnou k dani:</w:t>
            </w:r>
          </w:p>
          <w:p w:rsidR="00E3401C" w:rsidRDefault="00E3401C" w:rsidP="00F018D6">
            <w:pPr>
              <w:jc w:val="both"/>
              <w:rPr>
                <w:color w:val="444444"/>
                <w:sz w:val="18"/>
                <w:szCs w:val="18"/>
              </w:rPr>
            </w:pPr>
            <w:r>
              <w:rPr>
                <w:color w:val="444444"/>
                <w:sz w:val="18"/>
                <w:szCs w:val="18"/>
              </w:rPr>
              <w:t>a) v případě, že mu příjemce sdělil své osobní identifikační číslo pro DPH, obdrží-li potvrzení platnosti tohoto identifikačního čísla, jakož i odpovídajícího jména a adresy v souladu s článkem 31 nařízení Rady (ES) č. 904/2010 ze dne 7. října 2010 o správní spolupráci a boji proti podvodům v oblasti daně z přidané hodnoty;</w:t>
            </w:r>
          </w:p>
          <w:p w:rsidR="002A50DB" w:rsidRPr="00E3401C" w:rsidRDefault="00E3401C" w:rsidP="00F018D6">
            <w:pPr>
              <w:jc w:val="both"/>
              <w:rPr>
                <w:color w:val="444444"/>
                <w:sz w:val="18"/>
                <w:szCs w:val="18"/>
              </w:rPr>
            </w:pPr>
            <w:r>
              <w:rPr>
                <w:color w:val="444444"/>
                <w:sz w:val="18"/>
                <w:szCs w:val="18"/>
              </w:rPr>
              <w:t>b) v případě, že příjemce osobní identifikační číslo pro DPH dosud neobdržel, ale informuje poskytovatele, že o jeho vydání požádal, obdrží-li jakýkoli jiný důkaz prokazující, že příjemce je osobou povinnou k dani nebo právnickou osobou nepovinnou k dani, která má povinnost být identifikována pro účely DPH, a ověří-li prostřednictvím kontrolních postupů běžně používaných v obchodní praxi, jako jsou postupy týkající se kontroly totožnosti nebo platby, v přiměřeném rozsahu přesnost informací poskytnutých příjemcem.</w:t>
            </w:r>
          </w:p>
        </w:tc>
        <w:tc>
          <w:tcPr>
            <w:tcW w:w="900" w:type="dxa"/>
            <w:tcBorders>
              <w:top w:val="single" w:sz="4" w:space="0" w:color="auto"/>
              <w:left w:val="single" w:sz="18" w:space="0" w:color="auto"/>
              <w:bottom w:val="nil"/>
              <w:right w:val="single" w:sz="4" w:space="0" w:color="auto"/>
            </w:tcBorders>
          </w:tcPr>
          <w:p w:rsidR="002A50DB" w:rsidRDefault="002A50DB">
            <w:pPr>
              <w:rPr>
                <w:sz w:val="18"/>
              </w:rPr>
            </w:pPr>
          </w:p>
        </w:tc>
        <w:tc>
          <w:tcPr>
            <w:tcW w:w="1080" w:type="dxa"/>
            <w:tcBorders>
              <w:top w:val="single" w:sz="4" w:space="0" w:color="auto"/>
              <w:left w:val="single" w:sz="4" w:space="0" w:color="auto"/>
              <w:bottom w:val="nil"/>
              <w:right w:val="single" w:sz="4" w:space="0" w:color="auto"/>
            </w:tcBorders>
          </w:tcPr>
          <w:p w:rsidR="002A50DB" w:rsidRDefault="002A50DB">
            <w:pPr>
              <w:rPr>
                <w:sz w:val="18"/>
              </w:rPr>
            </w:pPr>
          </w:p>
        </w:tc>
        <w:tc>
          <w:tcPr>
            <w:tcW w:w="5400" w:type="dxa"/>
            <w:gridSpan w:val="4"/>
            <w:tcBorders>
              <w:top w:val="single" w:sz="4" w:space="0" w:color="auto"/>
              <w:left w:val="single" w:sz="4" w:space="0" w:color="auto"/>
              <w:bottom w:val="nil"/>
              <w:right w:val="single" w:sz="4" w:space="0" w:color="auto"/>
            </w:tcBorders>
          </w:tcPr>
          <w:p w:rsidR="002A50DB"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2A50DB" w:rsidRDefault="002A50D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462397">
        <w:tc>
          <w:tcPr>
            <w:tcW w:w="1440" w:type="dxa"/>
            <w:tcBorders>
              <w:top w:val="single" w:sz="4" w:space="0" w:color="auto"/>
              <w:left w:val="single" w:sz="4" w:space="0" w:color="auto"/>
              <w:bottom w:val="nil"/>
              <w:right w:val="single" w:sz="4" w:space="0" w:color="auto"/>
            </w:tcBorders>
          </w:tcPr>
          <w:p w:rsidR="00462397" w:rsidRDefault="00462397" w:rsidP="00462397">
            <w:r w:rsidRPr="003B3E18">
              <w:rPr>
                <w:sz w:val="18"/>
              </w:rPr>
              <w:t>Článek 1</w:t>
            </w:r>
            <w:r>
              <w:rPr>
                <w:sz w:val="18"/>
              </w:rPr>
              <w:t>8 odst. 2</w:t>
            </w:r>
          </w:p>
        </w:tc>
        <w:tc>
          <w:tcPr>
            <w:tcW w:w="5400" w:type="dxa"/>
            <w:gridSpan w:val="4"/>
            <w:tcBorders>
              <w:top w:val="single" w:sz="4" w:space="0" w:color="auto"/>
              <w:left w:val="single" w:sz="4" w:space="0" w:color="auto"/>
              <w:bottom w:val="nil"/>
              <w:right w:val="single" w:sz="18" w:space="0" w:color="auto"/>
            </w:tcBorders>
          </w:tcPr>
          <w:p w:rsidR="00462397" w:rsidRPr="00E3401C" w:rsidRDefault="00462397" w:rsidP="007D50EA">
            <w:pPr>
              <w:shd w:val="clear" w:color="auto" w:fill="FFFFFF"/>
              <w:spacing w:before="60"/>
              <w:jc w:val="both"/>
              <w:rPr>
                <w:color w:val="444444"/>
                <w:sz w:val="18"/>
                <w:szCs w:val="18"/>
              </w:rPr>
            </w:pPr>
            <w:r>
              <w:rPr>
                <w:color w:val="444444"/>
                <w:sz w:val="18"/>
                <w:szCs w:val="18"/>
              </w:rPr>
              <w:t>2. Poskytovatel může, nemá-li informace o opaku, považovat příjemce usazeného ve Společenství za osobu nepovinnou k dani, může-li prokázat, že mu příjemce nesdělil své osobní identifikační číslo pro DPH.</w:t>
            </w:r>
          </w:p>
        </w:tc>
        <w:tc>
          <w:tcPr>
            <w:tcW w:w="900" w:type="dxa"/>
            <w:tcBorders>
              <w:top w:val="single" w:sz="4" w:space="0" w:color="auto"/>
              <w:left w:val="single" w:sz="18" w:space="0" w:color="auto"/>
              <w:bottom w:val="nil"/>
              <w:right w:val="single" w:sz="4" w:space="0" w:color="auto"/>
            </w:tcBorders>
          </w:tcPr>
          <w:p w:rsidR="00462397" w:rsidRDefault="00462397" w:rsidP="00C24BA2">
            <w:pPr>
              <w:rPr>
                <w:sz w:val="18"/>
              </w:rPr>
            </w:pPr>
          </w:p>
        </w:tc>
        <w:tc>
          <w:tcPr>
            <w:tcW w:w="1080" w:type="dxa"/>
            <w:tcBorders>
              <w:top w:val="single" w:sz="4" w:space="0" w:color="auto"/>
              <w:left w:val="single" w:sz="4" w:space="0" w:color="auto"/>
              <w:bottom w:val="nil"/>
              <w:right w:val="single" w:sz="4" w:space="0" w:color="auto"/>
            </w:tcBorders>
          </w:tcPr>
          <w:p w:rsidR="00462397" w:rsidRDefault="00462397" w:rsidP="00C24BA2">
            <w:pPr>
              <w:rPr>
                <w:sz w:val="18"/>
              </w:rPr>
            </w:pPr>
          </w:p>
        </w:tc>
        <w:tc>
          <w:tcPr>
            <w:tcW w:w="5400" w:type="dxa"/>
            <w:gridSpan w:val="4"/>
            <w:tcBorders>
              <w:top w:val="single" w:sz="4" w:space="0" w:color="auto"/>
              <w:left w:val="single" w:sz="4" w:space="0" w:color="auto"/>
              <w:bottom w:val="nil"/>
              <w:right w:val="single" w:sz="4" w:space="0" w:color="auto"/>
            </w:tcBorders>
          </w:tcPr>
          <w:p w:rsidR="00462397" w:rsidRDefault="00462397" w:rsidP="003B061A">
            <w:pPr>
              <w:jc w:val="both"/>
              <w:rPr>
                <w:sz w:val="18"/>
              </w:rPr>
            </w:pPr>
            <w:r w:rsidRPr="00E3401C">
              <w:rPr>
                <w:i/>
                <w:sz w:val="18"/>
              </w:rPr>
              <w:t xml:space="preserve">Nerelevantní z hlediska adaptace. Ustanovení má výkladový charakter pro specifické případy a je přímo </w:t>
            </w:r>
            <w:r w:rsidR="005C5A7E">
              <w:rPr>
                <w:i/>
                <w:sz w:val="18"/>
              </w:rPr>
              <w:t>použitelné.</w:t>
            </w:r>
            <w:r>
              <w:rPr>
                <w:sz w:val="18"/>
              </w:rPr>
              <w:t xml:space="preserve"> </w:t>
            </w:r>
          </w:p>
        </w:tc>
        <w:tc>
          <w:tcPr>
            <w:tcW w:w="900" w:type="dxa"/>
            <w:tcBorders>
              <w:top w:val="single" w:sz="4" w:space="0" w:color="auto"/>
              <w:left w:val="single" w:sz="4" w:space="0" w:color="auto"/>
              <w:bottom w:val="nil"/>
              <w:right w:val="single" w:sz="4" w:space="0" w:color="auto"/>
            </w:tcBorders>
          </w:tcPr>
          <w:p w:rsidR="00462397" w:rsidRDefault="00462397"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462397" w:rsidRDefault="00462397">
            <w:pPr>
              <w:rPr>
                <w:sz w:val="18"/>
              </w:rPr>
            </w:pPr>
          </w:p>
        </w:tc>
      </w:tr>
      <w:tr w:rsidR="00462397">
        <w:tc>
          <w:tcPr>
            <w:tcW w:w="1440" w:type="dxa"/>
            <w:tcBorders>
              <w:top w:val="single" w:sz="4" w:space="0" w:color="auto"/>
              <w:left w:val="single" w:sz="4" w:space="0" w:color="auto"/>
              <w:bottom w:val="nil"/>
              <w:right w:val="single" w:sz="4" w:space="0" w:color="auto"/>
            </w:tcBorders>
          </w:tcPr>
          <w:p w:rsidR="00462397" w:rsidRDefault="00462397" w:rsidP="00C24BA2">
            <w:r w:rsidRPr="003B3E18">
              <w:rPr>
                <w:sz w:val="18"/>
              </w:rPr>
              <w:t>Článek 1</w:t>
            </w:r>
            <w:r>
              <w:rPr>
                <w:sz w:val="18"/>
              </w:rPr>
              <w:t>8 odst. 3</w:t>
            </w:r>
          </w:p>
        </w:tc>
        <w:tc>
          <w:tcPr>
            <w:tcW w:w="5400" w:type="dxa"/>
            <w:gridSpan w:val="4"/>
            <w:tcBorders>
              <w:top w:val="single" w:sz="4" w:space="0" w:color="auto"/>
              <w:left w:val="single" w:sz="4" w:space="0" w:color="auto"/>
              <w:bottom w:val="nil"/>
              <w:right w:val="single" w:sz="18" w:space="0" w:color="auto"/>
            </w:tcBorders>
          </w:tcPr>
          <w:p w:rsidR="00462397" w:rsidRDefault="00462397" w:rsidP="00C24BA2">
            <w:pPr>
              <w:shd w:val="clear" w:color="auto" w:fill="FFFFFF"/>
              <w:spacing w:before="60"/>
              <w:jc w:val="both"/>
              <w:rPr>
                <w:color w:val="444444"/>
                <w:sz w:val="18"/>
                <w:szCs w:val="18"/>
              </w:rPr>
            </w:pPr>
            <w:r>
              <w:rPr>
                <w:color w:val="444444"/>
                <w:sz w:val="18"/>
                <w:szCs w:val="18"/>
              </w:rPr>
              <w:t>3. Poskytovatel může, nemá-li informace o opaku, považovat příjemce usazeného mimo Společenství za osobu povinnou k dani:</w:t>
            </w:r>
          </w:p>
          <w:p w:rsidR="00462397" w:rsidRDefault="00462397" w:rsidP="00C24BA2">
            <w:pPr>
              <w:spacing w:before="60"/>
              <w:jc w:val="both"/>
              <w:rPr>
                <w:color w:val="444444"/>
                <w:sz w:val="18"/>
                <w:szCs w:val="18"/>
              </w:rPr>
            </w:pPr>
            <w:r>
              <w:rPr>
                <w:color w:val="444444"/>
                <w:sz w:val="18"/>
                <w:szCs w:val="18"/>
              </w:rPr>
              <w:t>a) obdrží-li od příjemce osvědčení vydané příslušným správcem daně příjemce jako potvrzení, že příjemce vykonává ekonomickou činnost, aby mu mohla být vrácena DPH podle směrnice Rady 86/560/EHS ze dne 17. listopadu 1986 o harmonizaci právních předpisů členských států týkajících se daní z obratu – Úprava vracení daně z přidané hodnoty osobám povinným k dani neusazeným na území Společenství;</w:t>
            </w:r>
          </w:p>
          <w:p w:rsidR="00462397" w:rsidRPr="00E3401C" w:rsidRDefault="00462397" w:rsidP="00C24BA2">
            <w:pPr>
              <w:spacing w:before="60"/>
              <w:jc w:val="both"/>
              <w:rPr>
                <w:color w:val="444444"/>
                <w:sz w:val="18"/>
                <w:szCs w:val="18"/>
              </w:rPr>
            </w:pPr>
            <w:r>
              <w:rPr>
                <w:color w:val="444444"/>
                <w:sz w:val="18"/>
                <w:szCs w:val="18"/>
              </w:rPr>
              <w:t>b) má-li k dispozici číslo pro DPH nebo podobné číslo přidělené příjemci zemí, ve které je usazen, a používané k identifikaci podniků nebo jakýkoli jiný důkaz prokazující, že příjemce je osobou povinnou k dani, a ověří-li prostřednictvím kontrolních postupů běžně používaných v obchodní praxi, jako jsou postupy týkající se kontroly totožnosti nebo platby, v přiměřeném rozsahu přesnost informací poskytnutých příjemcem, jestliže příjemce uvedené osvědčení nemá.</w:t>
            </w:r>
          </w:p>
        </w:tc>
        <w:tc>
          <w:tcPr>
            <w:tcW w:w="900" w:type="dxa"/>
            <w:tcBorders>
              <w:top w:val="single" w:sz="4" w:space="0" w:color="auto"/>
              <w:left w:val="single" w:sz="18" w:space="0" w:color="auto"/>
              <w:bottom w:val="nil"/>
              <w:right w:val="single" w:sz="4" w:space="0" w:color="auto"/>
            </w:tcBorders>
          </w:tcPr>
          <w:p w:rsidR="00462397" w:rsidRDefault="00462397" w:rsidP="00C24BA2">
            <w:pPr>
              <w:rPr>
                <w:sz w:val="18"/>
              </w:rPr>
            </w:pPr>
          </w:p>
        </w:tc>
        <w:tc>
          <w:tcPr>
            <w:tcW w:w="1080" w:type="dxa"/>
            <w:tcBorders>
              <w:top w:val="single" w:sz="4" w:space="0" w:color="auto"/>
              <w:left w:val="single" w:sz="4" w:space="0" w:color="auto"/>
              <w:bottom w:val="nil"/>
              <w:right w:val="single" w:sz="4" w:space="0" w:color="auto"/>
            </w:tcBorders>
          </w:tcPr>
          <w:p w:rsidR="00462397" w:rsidRDefault="00462397" w:rsidP="00C24BA2">
            <w:pPr>
              <w:rPr>
                <w:sz w:val="18"/>
              </w:rPr>
            </w:pPr>
          </w:p>
        </w:tc>
        <w:tc>
          <w:tcPr>
            <w:tcW w:w="5400" w:type="dxa"/>
            <w:gridSpan w:val="4"/>
            <w:tcBorders>
              <w:top w:val="single" w:sz="4" w:space="0" w:color="auto"/>
              <w:left w:val="single" w:sz="4" w:space="0" w:color="auto"/>
              <w:bottom w:val="nil"/>
              <w:right w:val="single" w:sz="4" w:space="0" w:color="auto"/>
            </w:tcBorders>
          </w:tcPr>
          <w:p w:rsidR="00462397"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462397" w:rsidRDefault="00462397"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462397" w:rsidRDefault="00462397">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1</w:t>
            </w:r>
            <w:r w:rsidR="00517721">
              <w:rPr>
                <w:sz w:val="18"/>
              </w:rPr>
              <w:t>9</w:t>
            </w:r>
          </w:p>
        </w:tc>
        <w:tc>
          <w:tcPr>
            <w:tcW w:w="5400" w:type="dxa"/>
            <w:gridSpan w:val="4"/>
            <w:tcBorders>
              <w:top w:val="single" w:sz="4" w:space="0" w:color="auto"/>
              <w:left w:val="single" w:sz="4" w:space="0" w:color="auto"/>
              <w:bottom w:val="nil"/>
              <w:right w:val="single" w:sz="18" w:space="0" w:color="auto"/>
            </w:tcBorders>
          </w:tcPr>
          <w:p w:rsidR="00517721" w:rsidRDefault="00517721" w:rsidP="00517721">
            <w:pPr>
              <w:shd w:val="clear" w:color="auto" w:fill="FFFFFF"/>
              <w:spacing w:before="60"/>
              <w:jc w:val="both"/>
              <w:rPr>
                <w:color w:val="444444"/>
                <w:sz w:val="18"/>
                <w:szCs w:val="18"/>
              </w:rPr>
            </w:pPr>
            <w:r>
              <w:rPr>
                <w:color w:val="444444"/>
                <w:sz w:val="18"/>
                <w:szCs w:val="18"/>
              </w:rPr>
              <w:t>Pro účely uplatňování pravidel týkajících se místa poskytnutí služby uvedených v článcích 44 a 45 směrnice 2006/112/ES se osoba povinná k dani nebo právnická osoba nepovinná k dani považovaná za osobu povinnou k dani, jíž je poskytnuta služba výlučně pro její soukromou potřebu, včetně soukromé potřeby jejích zaměstnanců, považuje za osobu nepovinnou k dani.</w:t>
            </w:r>
          </w:p>
          <w:p w:rsidR="00517721" w:rsidRDefault="00517721" w:rsidP="00517721">
            <w:pPr>
              <w:shd w:val="clear" w:color="auto" w:fill="FFFFFF"/>
              <w:spacing w:before="60"/>
              <w:jc w:val="both"/>
              <w:rPr>
                <w:color w:val="444444"/>
                <w:sz w:val="18"/>
                <w:szCs w:val="18"/>
              </w:rPr>
            </w:pPr>
            <w:r>
              <w:rPr>
                <w:color w:val="444444"/>
                <w:sz w:val="18"/>
                <w:szCs w:val="18"/>
              </w:rPr>
              <w:t>Nemá-li informace o opaku, jako jsou informace o povaze poskytnutých služeb, může se poskytovatel domnívat, že služby jsou určeny pro účely ekonomické činnosti příjemce, pokud mu příjemce pro účely daného plnění sdělil své osobní identifikační číslo pro DPH.</w:t>
            </w:r>
          </w:p>
          <w:p w:rsidR="002A50DB" w:rsidRDefault="00517721" w:rsidP="00517721">
            <w:pPr>
              <w:shd w:val="clear" w:color="auto" w:fill="FFFFFF"/>
              <w:spacing w:before="60"/>
              <w:jc w:val="both"/>
              <w:rPr>
                <w:sz w:val="18"/>
              </w:rPr>
            </w:pPr>
            <w:r>
              <w:rPr>
                <w:color w:val="444444"/>
                <w:sz w:val="18"/>
                <w:szCs w:val="18"/>
              </w:rPr>
              <w:t>Jestliže je jedna a tatáž služba určena jak pro soukromou potřebu včetně soukromé potřeby zaměstnanců příjemce, tak současně pro ekonomickou činnost, poskytnutí této služby spadá výlučně do oblasti působnosti článku 44 směrnice 2006/112/ES, a to za podmínky, že nedochází k žádnému zneužití.</w:t>
            </w:r>
          </w:p>
        </w:tc>
        <w:tc>
          <w:tcPr>
            <w:tcW w:w="900" w:type="dxa"/>
            <w:tcBorders>
              <w:top w:val="single" w:sz="4" w:space="0" w:color="auto"/>
              <w:left w:val="single" w:sz="18" w:space="0" w:color="auto"/>
              <w:bottom w:val="nil"/>
              <w:right w:val="single" w:sz="4" w:space="0" w:color="auto"/>
            </w:tcBorders>
          </w:tcPr>
          <w:p w:rsidR="002A50DB" w:rsidRDefault="002A50DB">
            <w:pPr>
              <w:rPr>
                <w:sz w:val="18"/>
              </w:rPr>
            </w:pPr>
          </w:p>
        </w:tc>
        <w:tc>
          <w:tcPr>
            <w:tcW w:w="1080" w:type="dxa"/>
            <w:tcBorders>
              <w:top w:val="single" w:sz="4" w:space="0" w:color="auto"/>
              <w:left w:val="single" w:sz="4" w:space="0" w:color="auto"/>
              <w:bottom w:val="nil"/>
              <w:right w:val="single" w:sz="4" w:space="0" w:color="auto"/>
            </w:tcBorders>
          </w:tcPr>
          <w:p w:rsidR="002A50DB" w:rsidRDefault="002A50DB">
            <w:pPr>
              <w:rPr>
                <w:sz w:val="18"/>
              </w:rPr>
            </w:pPr>
          </w:p>
        </w:tc>
        <w:tc>
          <w:tcPr>
            <w:tcW w:w="5400" w:type="dxa"/>
            <w:gridSpan w:val="4"/>
            <w:tcBorders>
              <w:top w:val="single" w:sz="4" w:space="0" w:color="auto"/>
              <w:left w:val="single" w:sz="4" w:space="0" w:color="auto"/>
              <w:bottom w:val="nil"/>
              <w:right w:val="single" w:sz="4" w:space="0" w:color="auto"/>
            </w:tcBorders>
          </w:tcPr>
          <w:p w:rsidR="002A50DB"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2A50DB" w:rsidRDefault="002A50D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2A50DB">
        <w:tc>
          <w:tcPr>
            <w:tcW w:w="1440" w:type="dxa"/>
            <w:tcBorders>
              <w:top w:val="single" w:sz="4" w:space="0" w:color="auto"/>
              <w:left w:val="single" w:sz="4" w:space="0" w:color="auto"/>
              <w:bottom w:val="nil"/>
              <w:right w:val="single" w:sz="4" w:space="0" w:color="auto"/>
            </w:tcBorders>
          </w:tcPr>
          <w:p w:rsidR="002A50DB" w:rsidRDefault="002A50DB">
            <w:r w:rsidRPr="003B3E18">
              <w:rPr>
                <w:sz w:val="18"/>
              </w:rPr>
              <w:t>Článek </w:t>
            </w:r>
            <w:r w:rsidR="00517721">
              <w:rPr>
                <w:sz w:val="18"/>
              </w:rPr>
              <w:t>20</w:t>
            </w:r>
          </w:p>
        </w:tc>
        <w:tc>
          <w:tcPr>
            <w:tcW w:w="5400" w:type="dxa"/>
            <w:gridSpan w:val="4"/>
            <w:tcBorders>
              <w:top w:val="single" w:sz="4" w:space="0" w:color="auto"/>
              <w:left w:val="single" w:sz="4" w:space="0" w:color="auto"/>
              <w:bottom w:val="nil"/>
              <w:right w:val="single" w:sz="18" w:space="0" w:color="auto"/>
            </w:tcBorders>
          </w:tcPr>
          <w:p w:rsidR="00517721" w:rsidRDefault="00517721" w:rsidP="00517721">
            <w:pPr>
              <w:shd w:val="clear" w:color="auto" w:fill="FFFFFF"/>
              <w:spacing w:before="60"/>
              <w:jc w:val="both"/>
              <w:rPr>
                <w:color w:val="444444"/>
                <w:sz w:val="18"/>
                <w:szCs w:val="18"/>
              </w:rPr>
            </w:pPr>
            <w:r>
              <w:rPr>
                <w:color w:val="444444"/>
                <w:sz w:val="18"/>
                <w:szCs w:val="18"/>
              </w:rPr>
              <w:t>V případě, že poskytnutí služby osobě povinné k dani nebo právnické osobě nepovinné k dani považované za osobu povinnou k dani spadá do oblasti působnosti článku 44 směrnice 2006/112/ES a že uvedená osoba povinná k dani je usazena v jediné zemi, nebo nemá-li sídlo ekonomické činnosti nebo stálou provozovnu, má v jediné zemi bydliště a místo, kde se obvykle zdržuje, je uvedené poskytnutí služby zdanitelné v uvedené zemi.</w:t>
            </w:r>
          </w:p>
          <w:p w:rsidR="00517721" w:rsidRDefault="00517721" w:rsidP="00517721">
            <w:pPr>
              <w:shd w:val="clear" w:color="auto" w:fill="FFFFFF"/>
              <w:spacing w:before="60"/>
              <w:jc w:val="both"/>
              <w:rPr>
                <w:color w:val="444444"/>
                <w:sz w:val="18"/>
                <w:szCs w:val="18"/>
              </w:rPr>
            </w:pPr>
            <w:r>
              <w:rPr>
                <w:color w:val="444444"/>
                <w:sz w:val="18"/>
                <w:szCs w:val="18"/>
              </w:rPr>
              <w:t>Poskytovatel zjistí uvedené místo na základě informací od příjemce, které ověří prostřednictvím kontrolních postupů běžně používaných v obchodní praxi, jako jsou postupy týkající se kontroly totožnosti nebo platby.</w:t>
            </w:r>
          </w:p>
          <w:p w:rsidR="002A50DB" w:rsidRPr="00517721" w:rsidRDefault="00517721" w:rsidP="00517721">
            <w:pPr>
              <w:shd w:val="clear" w:color="auto" w:fill="FFFFFF"/>
              <w:spacing w:before="60"/>
              <w:jc w:val="both"/>
              <w:rPr>
                <w:color w:val="444444"/>
                <w:sz w:val="18"/>
                <w:szCs w:val="18"/>
              </w:rPr>
            </w:pPr>
            <w:r>
              <w:rPr>
                <w:color w:val="444444"/>
                <w:sz w:val="18"/>
                <w:szCs w:val="18"/>
              </w:rPr>
              <w:t>Těmito informacemi může být i identifikační číslo pro DPH přidělené členským státem, v němž je příjemce usazen.</w:t>
            </w:r>
          </w:p>
        </w:tc>
        <w:tc>
          <w:tcPr>
            <w:tcW w:w="900" w:type="dxa"/>
            <w:tcBorders>
              <w:top w:val="single" w:sz="4" w:space="0" w:color="auto"/>
              <w:left w:val="single" w:sz="18" w:space="0" w:color="auto"/>
              <w:bottom w:val="nil"/>
              <w:right w:val="single" w:sz="4" w:space="0" w:color="auto"/>
            </w:tcBorders>
          </w:tcPr>
          <w:p w:rsidR="002A50DB" w:rsidRDefault="002A50DB">
            <w:pPr>
              <w:rPr>
                <w:sz w:val="18"/>
              </w:rPr>
            </w:pPr>
          </w:p>
        </w:tc>
        <w:tc>
          <w:tcPr>
            <w:tcW w:w="1080" w:type="dxa"/>
            <w:tcBorders>
              <w:top w:val="single" w:sz="4" w:space="0" w:color="auto"/>
              <w:left w:val="single" w:sz="4" w:space="0" w:color="auto"/>
              <w:bottom w:val="nil"/>
              <w:right w:val="single" w:sz="4" w:space="0" w:color="auto"/>
            </w:tcBorders>
          </w:tcPr>
          <w:p w:rsidR="002A50DB" w:rsidRDefault="002A50DB">
            <w:pPr>
              <w:rPr>
                <w:sz w:val="18"/>
              </w:rPr>
            </w:pPr>
          </w:p>
        </w:tc>
        <w:tc>
          <w:tcPr>
            <w:tcW w:w="5400" w:type="dxa"/>
            <w:gridSpan w:val="4"/>
            <w:tcBorders>
              <w:top w:val="single" w:sz="4" w:space="0" w:color="auto"/>
              <w:left w:val="single" w:sz="4" w:space="0" w:color="auto"/>
              <w:bottom w:val="nil"/>
              <w:right w:val="single" w:sz="4" w:space="0" w:color="auto"/>
            </w:tcBorders>
          </w:tcPr>
          <w:p w:rsidR="002A50DB"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2A50DB" w:rsidRDefault="002A50D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2A50DB" w:rsidRDefault="002A50DB">
            <w:pPr>
              <w:rPr>
                <w:sz w:val="18"/>
              </w:rPr>
            </w:pPr>
          </w:p>
        </w:tc>
      </w:tr>
      <w:tr w:rsidR="00A21979" w:rsidTr="00486E5B">
        <w:tc>
          <w:tcPr>
            <w:tcW w:w="1440" w:type="dxa"/>
            <w:tcBorders>
              <w:top w:val="single" w:sz="4" w:space="0" w:color="auto"/>
              <w:left w:val="single" w:sz="4" w:space="0" w:color="auto"/>
              <w:bottom w:val="nil"/>
              <w:right w:val="single" w:sz="4" w:space="0" w:color="auto"/>
            </w:tcBorders>
          </w:tcPr>
          <w:p w:rsidR="00A21979" w:rsidRDefault="00D759D1" w:rsidP="00E27FE9">
            <w:pPr>
              <w:spacing w:before="60"/>
            </w:pPr>
            <w:r>
              <w:rPr>
                <w:sz w:val="18"/>
              </w:rPr>
              <w:t>Článek </w:t>
            </w:r>
            <w:r w:rsidR="00517721">
              <w:rPr>
                <w:sz w:val="18"/>
              </w:rPr>
              <w:t>21</w:t>
            </w:r>
          </w:p>
        </w:tc>
        <w:tc>
          <w:tcPr>
            <w:tcW w:w="5400" w:type="dxa"/>
            <w:gridSpan w:val="4"/>
            <w:tcBorders>
              <w:top w:val="single" w:sz="4" w:space="0" w:color="auto"/>
              <w:left w:val="single" w:sz="4" w:space="0" w:color="auto"/>
              <w:bottom w:val="nil"/>
              <w:right w:val="single" w:sz="18" w:space="0" w:color="auto"/>
            </w:tcBorders>
          </w:tcPr>
          <w:p w:rsidR="00DA0D93" w:rsidRDefault="00DA0D93" w:rsidP="00DA0D93">
            <w:pPr>
              <w:shd w:val="clear" w:color="auto" w:fill="FFFFFF"/>
              <w:spacing w:before="60"/>
              <w:jc w:val="both"/>
              <w:rPr>
                <w:color w:val="444444"/>
                <w:sz w:val="18"/>
                <w:szCs w:val="18"/>
              </w:rPr>
            </w:pPr>
            <w:r>
              <w:rPr>
                <w:color w:val="444444"/>
                <w:sz w:val="18"/>
                <w:szCs w:val="18"/>
              </w:rPr>
              <w:t>V případě, že poskytnutí služby osobě povinné k dani nebo právnické osobě nepovinné k dani považované za osobu povinnou k dani spadá do oblasti působnosti článku 44 směrnice 2006/112/ES a že uvedená osoba povinná k dani je usazena ve více než jedné zemi, je uvedené poskytnutí služby zdanitelné v zemi, kde má uvedená osoba povinná k dani sídlo ekonomické činnosti.</w:t>
            </w:r>
          </w:p>
          <w:p w:rsidR="00DA0D93" w:rsidRDefault="00DA0D93" w:rsidP="00DA0D93">
            <w:pPr>
              <w:shd w:val="clear" w:color="auto" w:fill="FFFFFF"/>
              <w:spacing w:before="60"/>
              <w:jc w:val="both"/>
              <w:rPr>
                <w:color w:val="444444"/>
                <w:sz w:val="18"/>
                <w:szCs w:val="18"/>
              </w:rPr>
            </w:pPr>
            <w:r>
              <w:rPr>
                <w:color w:val="444444"/>
                <w:sz w:val="18"/>
                <w:szCs w:val="18"/>
              </w:rPr>
              <w:t>Je-li však tato služba poskytnuta stálé provozovně osoby povinné k dani nacházející se v místě jiném, než je místo, kde má příjemce sídlo ekonomické činnosti, je uvedené poskytnutí služby zdanitelné v místě stálé provozovny, která tuto službu přijímá a využívá pro vlastní potřebu.</w:t>
            </w:r>
          </w:p>
          <w:p w:rsidR="00A21979" w:rsidRPr="00DA0D93" w:rsidRDefault="00DA0D93" w:rsidP="00DA0D93">
            <w:pPr>
              <w:shd w:val="clear" w:color="auto" w:fill="FFFFFF"/>
              <w:spacing w:before="60"/>
              <w:jc w:val="both"/>
              <w:rPr>
                <w:color w:val="444444"/>
                <w:sz w:val="18"/>
                <w:szCs w:val="18"/>
              </w:rPr>
            </w:pPr>
            <w:r>
              <w:rPr>
                <w:color w:val="444444"/>
                <w:sz w:val="18"/>
                <w:szCs w:val="18"/>
              </w:rPr>
              <w:t>Nemá-li osoba povinná k dani sídlo ekonomické činnosti nebo stálou provozovnu, je služba zdanitelná v místě jejího bydliště, nebo v místě, kde se obvykle zdržuje.</w:t>
            </w:r>
          </w:p>
        </w:tc>
        <w:tc>
          <w:tcPr>
            <w:tcW w:w="900" w:type="dxa"/>
            <w:tcBorders>
              <w:top w:val="single" w:sz="4" w:space="0" w:color="auto"/>
              <w:left w:val="single" w:sz="18" w:space="0" w:color="auto"/>
              <w:bottom w:val="nil"/>
              <w:right w:val="single" w:sz="4" w:space="0" w:color="auto"/>
            </w:tcBorders>
          </w:tcPr>
          <w:p w:rsidR="00A21979" w:rsidRDefault="006C6378">
            <w:pPr>
              <w:rPr>
                <w:sz w:val="18"/>
              </w:rPr>
            </w:pPr>
            <w:r w:rsidRPr="006C6378">
              <w:rPr>
                <w:sz w:val="18"/>
              </w:rPr>
              <w:t>235/2004 ve znění 489/2009 502/2012 80/2019</w:t>
            </w:r>
          </w:p>
        </w:tc>
        <w:tc>
          <w:tcPr>
            <w:tcW w:w="1080" w:type="dxa"/>
            <w:tcBorders>
              <w:top w:val="single" w:sz="4" w:space="0" w:color="auto"/>
              <w:left w:val="single" w:sz="4" w:space="0" w:color="auto"/>
              <w:bottom w:val="nil"/>
              <w:right w:val="single" w:sz="4" w:space="0" w:color="auto"/>
            </w:tcBorders>
          </w:tcPr>
          <w:p w:rsidR="00A21979" w:rsidRDefault="006C6378">
            <w:pPr>
              <w:rPr>
                <w:sz w:val="18"/>
              </w:rPr>
            </w:pPr>
            <w:r>
              <w:rPr>
                <w:sz w:val="18"/>
              </w:rPr>
              <w:t>§ 9 odst. 1</w:t>
            </w:r>
          </w:p>
        </w:tc>
        <w:tc>
          <w:tcPr>
            <w:tcW w:w="5400" w:type="dxa"/>
            <w:gridSpan w:val="4"/>
            <w:tcBorders>
              <w:top w:val="single" w:sz="4" w:space="0" w:color="auto"/>
              <w:left w:val="single" w:sz="4" w:space="0" w:color="auto"/>
              <w:bottom w:val="nil"/>
              <w:right w:val="single" w:sz="4" w:space="0" w:color="auto"/>
            </w:tcBorders>
          </w:tcPr>
          <w:p w:rsidR="00A21979" w:rsidRDefault="00DA0D93" w:rsidP="003B061A">
            <w:pPr>
              <w:jc w:val="both"/>
              <w:rPr>
                <w:sz w:val="18"/>
              </w:rPr>
            </w:pPr>
            <w:r w:rsidRPr="00DA0D93">
              <w:rPr>
                <w:sz w:val="18"/>
              </w:rPr>
              <w:t>Místem plnění při poskytnutí služby osobě povinné k dani, která jedná jako taková, je místo, kde má tato osoba sídlo. Pokud je však tato služba poskytnuta provozovně osoby povinné k dani, nacházející se v jiném místě, než kde je její sídlo, je místem plnění místo, kde je tato provozovna umístěna. Za tuto provozovnu se považuje organizační složka této osoby povinné k dani, která může přijímat a využívat služby, které jsou poskytovány pro potřebu této provozovny, neboť je dostatečně stálá a má vhodné personální a technické zdroje.</w:t>
            </w:r>
          </w:p>
        </w:tc>
        <w:tc>
          <w:tcPr>
            <w:tcW w:w="900" w:type="dxa"/>
            <w:tcBorders>
              <w:top w:val="single" w:sz="4" w:space="0" w:color="auto"/>
              <w:left w:val="single" w:sz="4" w:space="0" w:color="auto"/>
              <w:bottom w:val="nil"/>
              <w:right w:val="single" w:sz="4" w:space="0" w:color="auto"/>
            </w:tcBorders>
          </w:tcPr>
          <w:p w:rsidR="00A21979" w:rsidRDefault="00486E5B" w:rsidP="00A21979">
            <w:pPr>
              <w:jc w:val="center"/>
            </w:pPr>
            <w:r>
              <w:rPr>
                <w:sz w:val="18"/>
              </w:rPr>
              <w:t>P</w:t>
            </w:r>
            <w:r w:rsidR="00A21979" w:rsidRPr="00B04349">
              <w:rPr>
                <w:sz w:val="18"/>
              </w:rPr>
              <w:t>A</w:t>
            </w:r>
            <w:r w:rsidR="00704E5C">
              <w:rPr>
                <w:sz w:val="18"/>
              </w:rPr>
              <w:t>D</w:t>
            </w:r>
          </w:p>
        </w:tc>
        <w:tc>
          <w:tcPr>
            <w:tcW w:w="720" w:type="dxa"/>
            <w:tcBorders>
              <w:top w:val="single" w:sz="4" w:space="0" w:color="auto"/>
              <w:left w:val="single" w:sz="4" w:space="0" w:color="auto"/>
              <w:bottom w:val="nil"/>
              <w:right w:val="single" w:sz="4" w:space="0" w:color="auto"/>
            </w:tcBorders>
          </w:tcPr>
          <w:p w:rsidR="00A21979" w:rsidRDefault="00A21979">
            <w:pPr>
              <w:rPr>
                <w:sz w:val="18"/>
              </w:rPr>
            </w:pPr>
          </w:p>
        </w:tc>
      </w:tr>
      <w:tr w:rsidR="00486E5B" w:rsidTr="00486E5B">
        <w:tc>
          <w:tcPr>
            <w:tcW w:w="1440" w:type="dxa"/>
            <w:tcBorders>
              <w:top w:val="nil"/>
              <w:left w:val="single" w:sz="4" w:space="0" w:color="auto"/>
              <w:bottom w:val="nil"/>
              <w:right w:val="single" w:sz="4" w:space="0" w:color="auto"/>
            </w:tcBorders>
          </w:tcPr>
          <w:p w:rsidR="00486E5B" w:rsidRDefault="00486E5B" w:rsidP="00E27FE9">
            <w:pPr>
              <w:spacing w:before="60"/>
              <w:rPr>
                <w:sz w:val="18"/>
              </w:rPr>
            </w:pPr>
          </w:p>
        </w:tc>
        <w:tc>
          <w:tcPr>
            <w:tcW w:w="5400" w:type="dxa"/>
            <w:gridSpan w:val="4"/>
            <w:tcBorders>
              <w:top w:val="nil"/>
              <w:left w:val="single" w:sz="4" w:space="0" w:color="auto"/>
              <w:bottom w:val="nil"/>
              <w:right w:val="single" w:sz="18" w:space="0" w:color="auto"/>
            </w:tcBorders>
          </w:tcPr>
          <w:p w:rsidR="00486E5B" w:rsidRDefault="00486E5B" w:rsidP="00DA0D93">
            <w:pPr>
              <w:shd w:val="clear" w:color="auto" w:fill="FFFFFF"/>
              <w:spacing w:before="60"/>
              <w:jc w:val="both"/>
              <w:rPr>
                <w:color w:val="444444"/>
                <w:sz w:val="18"/>
                <w:szCs w:val="18"/>
              </w:rPr>
            </w:pPr>
          </w:p>
        </w:tc>
        <w:tc>
          <w:tcPr>
            <w:tcW w:w="900" w:type="dxa"/>
            <w:tcBorders>
              <w:top w:val="nil"/>
              <w:left w:val="single" w:sz="18" w:space="0" w:color="auto"/>
              <w:bottom w:val="nil"/>
              <w:right w:val="single" w:sz="4" w:space="0" w:color="auto"/>
            </w:tcBorders>
          </w:tcPr>
          <w:p w:rsidR="00D82F8D" w:rsidRDefault="00D82F8D" w:rsidP="00D82F8D">
            <w:pPr>
              <w:rPr>
                <w:sz w:val="18"/>
              </w:rPr>
            </w:pPr>
            <w:r w:rsidRPr="0098273A">
              <w:rPr>
                <w:sz w:val="18"/>
              </w:rPr>
              <w:t xml:space="preserve">235/2004 ve znění </w:t>
            </w:r>
          </w:p>
          <w:p w:rsidR="00486E5B" w:rsidRDefault="00D82F8D" w:rsidP="00D82F8D">
            <w:pPr>
              <w:rPr>
                <w:sz w:val="18"/>
              </w:rPr>
            </w:pPr>
            <w:r>
              <w:rPr>
                <w:sz w:val="18"/>
              </w:rPr>
              <w:t xml:space="preserve">502/2012 </w:t>
            </w:r>
            <w:r w:rsidRPr="0098273A">
              <w:rPr>
                <w:sz w:val="18"/>
              </w:rPr>
              <w:t>360/2014</w:t>
            </w:r>
          </w:p>
        </w:tc>
        <w:tc>
          <w:tcPr>
            <w:tcW w:w="1080" w:type="dxa"/>
            <w:tcBorders>
              <w:top w:val="nil"/>
              <w:left w:val="single" w:sz="4" w:space="0" w:color="auto"/>
              <w:bottom w:val="nil"/>
              <w:right w:val="single" w:sz="4" w:space="0" w:color="auto"/>
            </w:tcBorders>
          </w:tcPr>
          <w:p w:rsidR="00486E5B" w:rsidRDefault="00486E5B" w:rsidP="00C90555">
            <w:pPr>
              <w:rPr>
                <w:sz w:val="18"/>
              </w:rPr>
            </w:pPr>
            <w:r>
              <w:rPr>
                <w:sz w:val="18"/>
              </w:rPr>
              <w:t>§ 4 odst. 1 písm. i)</w:t>
            </w:r>
          </w:p>
        </w:tc>
        <w:tc>
          <w:tcPr>
            <w:tcW w:w="5400" w:type="dxa"/>
            <w:gridSpan w:val="4"/>
            <w:tcBorders>
              <w:top w:val="nil"/>
              <w:left w:val="single" w:sz="4" w:space="0" w:color="auto"/>
              <w:bottom w:val="nil"/>
              <w:right w:val="single" w:sz="4" w:space="0" w:color="auto"/>
            </w:tcBorders>
          </w:tcPr>
          <w:p w:rsidR="00486E5B" w:rsidRDefault="00486E5B" w:rsidP="003B061A">
            <w:pPr>
              <w:spacing w:before="60"/>
              <w:jc w:val="both"/>
              <w:rPr>
                <w:sz w:val="18"/>
              </w:rPr>
            </w:pPr>
            <w:r w:rsidRPr="002A50DB">
              <w:rPr>
                <w:sz w:val="18"/>
              </w:rPr>
              <w:t>Pro účely tohoto zákona se rozumí:</w:t>
            </w:r>
          </w:p>
          <w:p w:rsidR="00486E5B" w:rsidRDefault="00486E5B" w:rsidP="003B061A">
            <w:pPr>
              <w:spacing w:before="60"/>
              <w:jc w:val="both"/>
              <w:rPr>
                <w:sz w:val="18"/>
              </w:rPr>
            </w:pPr>
            <w:r>
              <w:rPr>
                <w:sz w:val="18"/>
              </w:rPr>
              <w:t xml:space="preserve">i) </w:t>
            </w:r>
            <w:r w:rsidRPr="002A50DB">
              <w:rPr>
                <w:sz w:val="18"/>
              </w:rPr>
              <w:t>sídlem u osoby povinné k dani adresa místa jejího vedení, kterým se rozumí místo, kde jsou přijímána zásadní rozhodnutí týkající se řízení osoby povinné k dani, popřípadě místo, kde se schází její vedení; nemá-li</w:t>
            </w:r>
            <w:r>
              <w:rPr>
                <w:sz w:val="18"/>
              </w:rPr>
              <w:t xml:space="preserve"> </w:t>
            </w:r>
            <w:r w:rsidRPr="002A50DB">
              <w:rPr>
                <w:sz w:val="18"/>
              </w:rPr>
              <w:t>fyzická osoba místo svého vedení, rozumí se sídlem u této osoby místo jejího pobytu,</w:t>
            </w:r>
          </w:p>
        </w:tc>
        <w:tc>
          <w:tcPr>
            <w:tcW w:w="900" w:type="dxa"/>
            <w:tcBorders>
              <w:top w:val="nil"/>
              <w:left w:val="single" w:sz="4" w:space="0" w:color="auto"/>
              <w:bottom w:val="nil"/>
              <w:right w:val="single" w:sz="4" w:space="0" w:color="auto"/>
            </w:tcBorders>
          </w:tcPr>
          <w:p w:rsidR="00486E5B" w:rsidRPr="00B04349" w:rsidRDefault="00486E5B" w:rsidP="00A21979">
            <w:pPr>
              <w:jc w:val="center"/>
              <w:rPr>
                <w:sz w:val="18"/>
              </w:rPr>
            </w:pPr>
          </w:p>
        </w:tc>
        <w:tc>
          <w:tcPr>
            <w:tcW w:w="720" w:type="dxa"/>
            <w:tcBorders>
              <w:top w:val="nil"/>
              <w:left w:val="single" w:sz="4" w:space="0" w:color="auto"/>
              <w:bottom w:val="nil"/>
              <w:right w:val="single" w:sz="4" w:space="0" w:color="auto"/>
            </w:tcBorders>
          </w:tcPr>
          <w:p w:rsidR="00486E5B" w:rsidRDefault="00486E5B">
            <w:pPr>
              <w:rPr>
                <w:sz w:val="18"/>
              </w:rPr>
            </w:pPr>
          </w:p>
        </w:tc>
      </w:tr>
      <w:tr w:rsidR="00486E5B" w:rsidTr="00486E5B">
        <w:tc>
          <w:tcPr>
            <w:tcW w:w="1440" w:type="dxa"/>
            <w:tcBorders>
              <w:top w:val="nil"/>
              <w:left w:val="single" w:sz="4" w:space="0" w:color="auto"/>
              <w:bottom w:val="nil"/>
              <w:right w:val="single" w:sz="4" w:space="0" w:color="auto"/>
            </w:tcBorders>
          </w:tcPr>
          <w:p w:rsidR="00486E5B" w:rsidRDefault="00486E5B" w:rsidP="00E27FE9">
            <w:pPr>
              <w:spacing w:before="60"/>
              <w:rPr>
                <w:sz w:val="18"/>
              </w:rPr>
            </w:pPr>
          </w:p>
        </w:tc>
        <w:tc>
          <w:tcPr>
            <w:tcW w:w="5400" w:type="dxa"/>
            <w:gridSpan w:val="4"/>
            <w:tcBorders>
              <w:top w:val="nil"/>
              <w:left w:val="single" w:sz="4" w:space="0" w:color="auto"/>
              <w:bottom w:val="nil"/>
              <w:right w:val="single" w:sz="18" w:space="0" w:color="auto"/>
            </w:tcBorders>
          </w:tcPr>
          <w:p w:rsidR="00486E5B" w:rsidRDefault="00486E5B" w:rsidP="00DA0D93">
            <w:pPr>
              <w:shd w:val="clear" w:color="auto" w:fill="FFFFFF"/>
              <w:spacing w:before="60"/>
              <w:jc w:val="both"/>
              <w:rPr>
                <w:color w:val="444444"/>
                <w:sz w:val="18"/>
                <w:szCs w:val="18"/>
              </w:rPr>
            </w:pPr>
          </w:p>
        </w:tc>
        <w:tc>
          <w:tcPr>
            <w:tcW w:w="900" w:type="dxa"/>
            <w:tcBorders>
              <w:top w:val="nil"/>
              <w:left w:val="single" w:sz="18" w:space="0" w:color="auto"/>
              <w:bottom w:val="nil"/>
              <w:right w:val="single" w:sz="4" w:space="0" w:color="auto"/>
            </w:tcBorders>
          </w:tcPr>
          <w:p w:rsidR="00C9573A" w:rsidRDefault="00C9573A" w:rsidP="00C9573A">
            <w:pPr>
              <w:rPr>
                <w:sz w:val="18"/>
              </w:rPr>
            </w:pPr>
            <w:r w:rsidRPr="0098273A">
              <w:rPr>
                <w:sz w:val="18"/>
              </w:rPr>
              <w:t xml:space="preserve">235/2004 ve znění </w:t>
            </w:r>
          </w:p>
          <w:p w:rsidR="00486E5B" w:rsidRPr="0098273A" w:rsidRDefault="00C9573A" w:rsidP="00C9573A">
            <w:pPr>
              <w:rPr>
                <w:sz w:val="18"/>
              </w:rPr>
            </w:pPr>
            <w:r>
              <w:rPr>
                <w:sz w:val="18"/>
              </w:rPr>
              <w:t xml:space="preserve">196/2014 </w:t>
            </w:r>
            <w:r w:rsidRPr="0098273A">
              <w:rPr>
                <w:sz w:val="18"/>
              </w:rPr>
              <w:t>360/2014</w:t>
            </w:r>
          </w:p>
        </w:tc>
        <w:tc>
          <w:tcPr>
            <w:tcW w:w="1080" w:type="dxa"/>
            <w:tcBorders>
              <w:top w:val="nil"/>
              <w:left w:val="single" w:sz="4" w:space="0" w:color="auto"/>
              <w:bottom w:val="nil"/>
              <w:right w:val="single" w:sz="4" w:space="0" w:color="auto"/>
            </w:tcBorders>
          </w:tcPr>
          <w:p w:rsidR="00486E5B" w:rsidRDefault="00486E5B" w:rsidP="00C90555">
            <w:pPr>
              <w:rPr>
                <w:sz w:val="18"/>
              </w:rPr>
            </w:pPr>
            <w:r>
              <w:rPr>
                <w:sz w:val="18"/>
              </w:rPr>
              <w:t>§ 4 odst. 1 písm. h)</w:t>
            </w:r>
            <w:r w:rsidR="00C90555">
              <w:rPr>
                <w:sz w:val="18"/>
              </w:rPr>
              <w:t xml:space="preserve"> bod 3</w:t>
            </w:r>
          </w:p>
        </w:tc>
        <w:tc>
          <w:tcPr>
            <w:tcW w:w="5400" w:type="dxa"/>
            <w:gridSpan w:val="4"/>
            <w:tcBorders>
              <w:top w:val="nil"/>
              <w:left w:val="single" w:sz="4" w:space="0" w:color="auto"/>
              <w:bottom w:val="nil"/>
              <w:right w:val="single" w:sz="4" w:space="0" w:color="auto"/>
            </w:tcBorders>
          </w:tcPr>
          <w:p w:rsidR="00486E5B" w:rsidRDefault="00486E5B" w:rsidP="003B061A">
            <w:pPr>
              <w:spacing w:before="60"/>
              <w:jc w:val="both"/>
              <w:rPr>
                <w:sz w:val="18"/>
              </w:rPr>
            </w:pPr>
            <w:r w:rsidRPr="002A50DB">
              <w:rPr>
                <w:sz w:val="18"/>
              </w:rPr>
              <w:t>Pro účely tohoto zákona se rozumí:</w:t>
            </w:r>
          </w:p>
          <w:p w:rsidR="00486E5B" w:rsidRPr="00D87F52" w:rsidRDefault="00486E5B" w:rsidP="003B061A">
            <w:pPr>
              <w:keepNext/>
              <w:keepLines/>
              <w:widowControl w:val="0"/>
              <w:autoSpaceDE w:val="0"/>
              <w:autoSpaceDN w:val="0"/>
              <w:adjustRightInd w:val="0"/>
              <w:jc w:val="both"/>
              <w:rPr>
                <w:sz w:val="18"/>
                <w:szCs w:val="18"/>
              </w:rPr>
            </w:pPr>
            <w:r w:rsidRPr="00D87F52">
              <w:rPr>
                <w:sz w:val="18"/>
                <w:szCs w:val="18"/>
              </w:rPr>
              <w:t>h) u fyzické osoby</w:t>
            </w:r>
          </w:p>
          <w:p w:rsidR="00486E5B" w:rsidRDefault="00486E5B" w:rsidP="003B061A">
            <w:pPr>
              <w:keepNext/>
              <w:keepLines/>
              <w:widowControl w:val="0"/>
              <w:autoSpaceDE w:val="0"/>
              <w:autoSpaceDN w:val="0"/>
              <w:adjustRightInd w:val="0"/>
              <w:jc w:val="both"/>
              <w:rPr>
                <w:sz w:val="18"/>
              </w:rPr>
            </w:pPr>
            <w:r w:rsidRPr="00486E5B">
              <w:rPr>
                <w:sz w:val="18"/>
              </w:rPr>
              <w:t>3. místem pobytu bydliště, nebo místo, kde se obvykle zdržuje,</w:t>
            </w:r>
          </w:p>
        </w:tc>
        <w:tc>
          <w:tcPr>
            <w:tcW w:w="900" w:type="dxa"/>
            <w:tcBorders>
              <w:top w:val="nil"/>
              <w:left w:val="single" w:sz="4" w:space="0" w:color="auto"/>
              <w:bottom w:val="nil"/>
              <w:right w:val="single" w:sz="4" w:space="0" w:color="auto"/>
            </w:tcBorders>
          </w:tcPr>
          <w:p w:rsidR="00486E5B" w:rsidRPr="00B04349" w:rsidRDefault="00486E5B" w:rsidP="00A21979">
            <w:pPr>
              <w:jc w:val="center"/>
              <w:rPr>
                <w:sz w:val="18"/>
              </w:rPr>
            </w:pPr>
          </w:p>
        </w:tc>
        <w:tc>
          <w:tcPr>
            <w:tcW w:w="720" w:type="dxa"/>
            <w:tcBorders>
              <w:top w:val="nil"/>
              <w:left w:val="single" w:sz="4" w:space="0" w:color="auto"/>
              <w:bottom w:val="nil"/>
              <w:right w:val="single" w:sz="4" w:space="0" w:color="auto"/>
            </w:tcBorders>
          </w:tcPr>
          <w:p w:rsidR="00486E5B" w:rsidRDefault="00486E5B">
            <w:pPr>
              <w:rPr>
                <w:sz w:val="18"/>
              </w:rPr>
            </w:pPr>
          </w:p>
        </w:tc>
      </w:tr>
      <w:tr w:rsidR="00B3098C" w:rsidTr="00486E5B">
        <w:tc>
          <w:tcPr>
            <w:tcW w:w="1440" w:type="dxa"/>
            <w:tcBorders>
              <w:top w:val="nil"/>
              <w:left w:val="single" w:sz="4" w:space="0" w:color="auto"/>
              <w:bottom w:val="nil"/>
              <w:right w:val="single" w:sz="4" w:space="0" w:color="auto"/>
            </w:tcBorders>
          </w:tcPr>
          <w:p w:rsidR="00B3098C" w:rsidRDefault="00B3098C" w:rsidP="00E27FE9">
            <w:pPr>
              <w:spacing w:before="60"/>
              <w:rPr>
                <w:sz w:val="18"/>
              </w:rPr>
            </w:pPr>
          </w:p>
        </w:tc>
        <w:tc>
          <w:tcPr>
            <w:tcW w:w="5400" w:type="dxa"/>
            <w:gridSpan w:val="4"/>
            <w:tcBorders>
              <w:top w:val="nil"/>
              <w:left w:val="single" w:sz="4" w:space="0" w:color="auto"/>
              <w:bottom w:val="nil"/>
              <w:right w:val="single" w:sz="18" w:space="0" w:color="auto"/>
            </w:tcBorders>
          </w:tcPr>
          <w:p w:rsidR="00B3098C" w:rsidRDefault="00B3098C" w:rsidP="00DA0D93">
            <w:pPr>
              <w:shd w:val="clear" w:color="auto" w:fill="FFFFFF"/>
              <w:spacing w:before="60"/>
              <w:jc w:val="both"/>
              <w:rPr>
                <w:color w:val="444444"/>
                <w:sz w:val="18"/>
                <w:szCs w:val="18"/>
              </w:rPr>
            </w:pPr>
          </w:p>
        </w:tc>
        <w:tc>
          <w:tcPr>
            <w:tcW w:w="900" w:type="dxa"/>
            <w:tcBorders>
              <w:top w:val="nil"/>
              <w:left w:val="single" w:sz="18" w:space="0" w:color="auto"/>
              <w:bottom w:val="nil"/>
              <w:right w:val="single" w:sz="4" w:space="0" w:color="auto"/>
            </w:tcBorders>
          </w:tcPr>
          <w:p w:rsidR="00B3098C" w:rsidRPr="0098273A" w:rsidRDefault="00B3098C" w:rsidP="00C9573A">
            <w:pPr>
              <w:rPr>
                <w:sz w:val="18"/>
              </w:rPr>
            </w:pPr>
            <w:r w:rsidRPr="00636E4B">
              <w:rPr>
                <w:sz w:val="18"/>
                <w:szCs w:val="18"/>
              </w:rPr>
              <w:t>10164</w:t>
            </w:r>
          </w:p>
        </w:tc>
        <w:tc>
          <w:tcPr>
            <w:tcW w:w="1080" w:type="dxa"/>
            <w:tcBorders>
              <w:top w:val="nil"/>
              <w:left w:val="single" w:sz="4" w:space="0" w:color="auto"/>
              <w:bottom w:val="nil"/>
              <w:right w:val="single" w:sz="4" w:space="0" w:color="auto"/>
            </w:tcBorders>
          </w:tcPr>
          <w:p w:rsidR="00B3098C" w:rsidRDefault="00B3098C" w:rsidP="00C90555">
            <w:pPr>
              <w:rPr>
                <w:sz w:val="18"/>
              </w:rPr>
            </w:pPr>
          </w:p>
        </w:tc>
        <w:tc>
          <w:tcPr>
            <w:tcW w:w="5400" w:type="dxa"/>
            <w:gridSpan w:val="4"/>
            <w:tcBorders>
              <w:top w:val="nil"/>
              <w:left w:val="single" w:sz="4" w:space="0" w:color="auto"/>
              <w:bottom w:val="nil"/>
              <w:right w:val="single" w:sz="4" w:space="0" w:color="auto"/>
            </w:tcBorders>
          </w:tcPr>
          <w:p w:rsidR="00B3098C" w:rsidRPr="002A50DB" w:rsidRDefault="00B3098C" w:rsidP="003B061A">
            <w:pPr>
              <w:spacing w:before="60"/>
              <w:jc w:val="both"/>
              <w:rPr>
                <w:sz w:val="18"/>
              </w:rPr>
            </w:pPr>
          </w:p>
        </w:tc>
        <w:tc>
          <w:tcPr>
            <w:tcW w:w="900" w:type="dxa"/>
            <w:tcBorders>
              <w:top w:val="nil"/>
              <w:left w:val="single" w:sz="4" w:space="0" w:color="auto"/>
              <w:bottom w:val="nil"/>
              <w:right w:val="single" w:sz="4" w:space="0" w:color="auto"/>
            </w:tcBorders>
          </w:tcPr>
          <w:p w:rsidR="00B3098C" w:rsidRPr="00B04349" w:rsidRDefault="00B3098C" w:rsidP="00A21979">
            <w:pPr>
              <w:jc w:val="center"/>
              <w:rPr>
                <w:sz w:val="18"/>
              </w:rPr>
            </w:pPr>
          </w:p>
        </w:tc>
        <w:tc>
          <w:tcPr>
            <w:tcW w:w="720" w:type="dxa"/>
            <w:tcBorders>
              <w:top w:val="nil"/>
              <w:left w:val="single" w:sz="4" w:space="0" w:color="auto"/>
              <w:bottom w:val="nil"/>
              <w:right w:val="single" w:sz="4" w:space="0" w:color="auto"/>
            </w:tcBorders>
          </w:tcPr>
          <w:p w:rsidR="00B3098C" w:rsidRDefault="00B3098C">
            <w:pPr>
              <w:rPr>
                <w:sz w:val="18"/>
              </w:rPr>
            </w:pPr>
          </w:p>
        </w:tc>
      </w:tr>
      <w:tr w:rsidR="00486E5B" w:rsidTr="00486E5B">
        <w:tc>
          <w:tcPr>
            <w:tcW w:w="1440" w:type="dxa"/>
            <w:tcBorders>
              <w:top w:val="single" w:sz="4" w:space="0" w:color="auto"/>
              <w:left w:val="single" w:sz="4" w:space="0" w:color="auto"/>
              <w:bottom w:val="nil"/>
              <w:right w:val="single" w:sz="4" w:space="0" w:color="auto"/>
            </w:tcBorders>
          </w:tcPr>
          <w:p w:rsidR="00486E5B" w:rsidRPr="00517721" w:rsidRDefault="00486E5B" w:rsidP="00517721">
            <w:pPr>
              <w:spacing w:before="60"/>
              <w:rPr>
                <w:sz w:val="18"/>
              </w:rPr>
            </w:pPr>
            <w:r w:rsidRPr="0062116A">
              <w:rPr>
                <w:sz w:val="18"/>
              </w:rPr>
              <w:t>Článek 2</w:t>
            </w:r>
            <w:r w:rsidR="00C90555">
              <w:rPr>
                <w:sz w:val="18"/>
              </w:rPr>
              <w:t>2</w:t>
            </w:r>
          </w:p>
        </w:tc>
        <w:tc>
          <w:tcPr>
            <w:tcW w:w="5400" w:type="dxa"/>
            <w:gridSpan w:val="4"/>
            <w:tcBorders>
              <w:top w:val="single" w:sz="4" w:space="0" w:color="auto"/>
              <w:left w:val="single" w:sz="4" w:space="0" w:color="auto"/>
              <w:bottom w:val="nil"/>
              <w:right w:val="single" w:sz="18" w:space="0" w:color="auto"/>
            </w:tcBorders>
          </w:tcPr>
          <w:p w:rsidR="00C90555" w:rsidRDefault="00C90555" w:rsidP="00C90555">
            <w:pPr>
              <w:shd w:val="clear" w:color="auto" w:fill="FFFFFF"/>
              <w:spacing w:before="60"/>
              <w:jc w:val="both"/>
              <w:rPr>
                <w:color w:val="444444"/>
                <w:sz w:val="18"/>
                <w:szCs w:val="18"/>
              </w:rPr>
            </w:pPr>
            <w:r>
              <w:rPr>
                <w:color w:val="444444"/>
                <w:sz w:val="18"/>
                <w:szCs w:val="18"/>
              </w:rPr>
              <w:t>1. Za účelem identifikace stálé provozovny příjemce, jíž je služba poskytnuta, přezkoumá poskytovatel povahu a využití poskytnuté služby.</w:t>
            </w:r>
          </w:p>
          <w:p w:rsidR="00C90555" w:rsidRDefault="00C90555" w:rsidP="00C90555">
            <w:pPr>
              <w:shd w:val="clear" w:color="auto" w:fill="FFFFFF"/>
              <w:spacing w:before="60"/>
              <w:jc w:val="both"/>
              <w:rPr>
                <w:color w:val="444444"/>
                <w:sz w:val="18"/>
                <w:szCs w:val="18"/>
              </w:rPr>
            </w:pPr>
            <w:r>
              <w:rPr>
                <w:color w:val="444444"/>
                <w:sz w:val="18"/>
                <w:szCs w:val="18"/>
              </w:rPr>
              <w:t>Jestliže povaha a využití poskytnuté služby neumožňují identifikovat stálou provozovnu, jíž je služba poskytnuta, poskytovatel při identifikaci dané stálé provozovny přihlédne zejména k tomu, zda smlouva, objednávka a identifikační číslo pro DPH přidělené členským státem příjemce, které mu příjemce sdělil, identifikují stálou provozovnu jako příjemce služby a zda je stálá provozovna subjektem, který za službu platí.</w:t>
            </w:r>
          </w:p>
          <w:p w:rsidR="00C90555" w:rsidRDefault="00C90555" w:rsidP="00C90555">
            <w:pPr>
              <w:shd w:val="clear" w:color="auto" w:fill="FFFFFF"/>
              <w:spacing w:before="60"/>
              <w:jc w:val="both"/>
              <w:rPr>
                <w:color w:val="444444"/>
                <w:sz w:val="18"/>
                <w:szCs w:val="18"/>
              </w:rPr>
            </w:pPr>
            <w:r>
              <w:rPr>
                <w:color w:val="444444"/>
                <w:sz w:val="18"/>
                <w:szCs w:val="18"/>
              </w:rPr>
              <w:t>V případě, že stálá provozovna příjemce, jíž je služba poskytnuta, nemůže být určena podle prvního a druhého pododstavce tohoto odstavce, nebo v případě, že služby, na něž se vztahuje článek 44 směrnice 2006/112/ES, jsou poskytnuty osobě povinné k dani podle smlouvy, která se vztahuje na jednu nebo více služeb využívaných nezjistitelným nebo nekvantifikovatelným způsobem, poskytovatel může oprávněně považovat služby za poskytnuté v místě, kde má příjemce sídlo ekonomické činnosti.</w:t>
            </w:r>
          </w:p>
          <w:p w:rsidR="00486E5B" w:rsidRPr="00C90555" w:rsidRDefault="00C90555" w:rsidP="00C90555">
            <w:pPr>
              <w:shd w:val="clear" w:color="auto" w:fill="FFFFFF"/>
              <w:spacing w:before="60"/>
              <w:jc w:val="both"/>
              <w:rPr>
                <w:color w:val="444444"/>
                <w:sz w:val="18"/>
                <w:szCs w:val="18"/>
              </w:rPr>
            </w:pPr>
            <w:r>
              <w:rPr>
                <w:color w:val="444444"/>
                <w:sz w:val="18"/>
                <w:szCs w:val="18"/>
              </w:rPr>
              <w:t>2. Uplatňováním tohoto článku nejsou dotčeny povinnosti příjemce.</w:t>
            </w:r>
          </w:p>
        </w:tc>
        <w:tc>
          <w:tcPr>
            <w:tcW w:w="900" w:type="dxa"/>
            <w:tcBorders>
              <w:top w:val="single" w:sz="4" w:space="0" w:color="auto"/>
              <w:left w:val="single" w:sz="18" w:space="0" w:color="auto"/>
              <w:bottom w:val="nil"/>
              <w:right w:val="single" w:sz="4" w:space="0" w:color="auto"/>
            </w:tcBorders>
          </w:tcPr>
          <w:p w:rsidR="00486E5B" w:rsidRDefault="00486E5B" w:rsidP="00C90555">
            <w:pPr>
              <w:rPr>
                <w:sz w:val="18"/>
              </w:rPr>
            </w:pPr>
          </w:p>
        </w:tc>
        <w:tc>
          <w:tcPr>
            <w:tcW w:w="1080" w:type="dxa"/>
            <w:tcBorders>
              <w:top w:val="single" w:sz="4" w:space="0" w:color="auto"/>
              <w:left w:val="single" w:sz="4" w:space="0" w:color="auto"/>
              <w:bottom w:val="nil"/>
              <w:right w:val="single" w:sz="4" w:space="0" w:color="auto"/>
            </w:tcBorders>
          </w:tcPr>
          <w:p w:rsidR="00486E5B" w:rsidRDefault="00486E5B" w:rsidP="00C90555">
            <w:pPr>
              <w:rPr>
                <w:sz w:val="18"/>
              </w:rPr>
            </w:pPr>
          </w:p>
        </w:tc>
        <w:tc>
          <w:tcPr>
            <w:tcW w:w="5400" w:type="dxa"/>
            <w:gridSpan w:val="4"/>
            <w:tcBorders>
              <w:top w:val="single" w:sz="4" w:space="0" w:color="auto"/>
              <w:left w:val="single" w:sz="4" w:space="0" w:color="auto"/>
              <w:bottom w:val="nil"/>
              <w:right w:val="single" w:sz="4" w:space="0" w:color="auto"/>
            </w:tcBorders>
          </w:tcPr>
          <w:p w:rsidR="00486E5B" w:rsidRDefault="005C5A7E" w:rsidP="003B061A">
            <w:pPr>
              <w:keepNext/>
              <w:keepLines/>
              <w:widowControl w:val="0"/>
              <w:autoSpaceDE w:val="0"/>
              <w:autoSpaceDN w:val="0"/>
              <w:adjustRightInd w:val="0"/>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486E5B" w:rsidRDefault="00486E5B"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486E5B" w:rsidRDefault="00486E5B">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3</w:t>
            </w:r>
          </w:p>
        </w:tc>
        <w:tc>
          <w:tcPr>
            <w:tcW w:w="5400" w:type="dxa"/>
            <w:gridSpan w:val="4"/>
            <w:tcBorders>
              <w:top w:val="single" w:sz="4" w:space="0" w:color="auto"/>
              <w:left w:val="single" w:sz="4" w:space="0" w:color="auto"/>
              <w:bottom w:val="nil"/>
              <w:right w:val="single" w:sz="18" w:space="0" w:color="auto"/>
            </w:tcBorders>
          </w:tcPr>
          <w:p w:rsidR="00C90555" w:rsidRDefault="00C90555" w:rsidP="00C90555">
            <w:pPr>
              <w:shd w:val="clear" w:color="auto" w:fill="FFFFFF"/>
              <w:spacing w:before="60"/>
              <w:jc w:val="both"/>
              <w:rPr>
                <w:color w:val="444444"/>
                <w:sz w:val="18"/>
                <w:szCs w:val="18"/>
              </w:rPr>
            </w:pPr>
            <w:r>
              <w:rPr>
                <w:color w:val="444444"/>
                <w:sz w:val="18"/>
                <w:szCs w:val="18"/>
              </w:rPr>
              <w:t>1. Od 1. ledna 2013 v případě, že v souladu s čl. 56 odst. 2 prvním pododstavcem směrnice 2006/112/ES je poskytnutí služby zdanitelné v místě, kde je příjemce usazen, nebo není-li usazen, v místě, kde má bydliště, nebo v místě, kde se obvykle zdržuje, stanoví poskytovatel uvedené místo na základě věcných informací od příjemce, které ověří prostřednictvím kontrolních postupů běžně používaných v obchodní praxi, jako jsou postupy týkající se kontroly totožnosti nebo platby.</w:t>
            </w:r>
          </w:p>
          <w:p w:rsidR="00517721" w:rsidRPr="00C90555" w:rsidRDefault="00C90555" w:rsidP="00C90555">
            <w:pPr>
              <w:shd w:val="clear" w:color="auto" w:fill="FFFFFF"/>
              <w:spacing w:before="60"/>
              <w:jc w:val="both"/>
              <w:rPr>
                <w:color w:val="444444"/>
                <w:sz w:val="18"/>
                <w:szCs w:val="18"/>
              </w:rPr>
            </w:pPr>
            <w:r>
              <w:rPr>
                <w:color w:val="444444"/>
                <w:sz w:val="18"/>
                <w:szCs w:val="18"/>
              </w:rPr>
              <w:t>2. V případě, že v souladu s články 58 a 59 směrnice 2006/112/ES je poskytnutí služby zdanitelné v místě, kde je příjemce usazen, nebo není-li usazen, v místě, kde má bydliště, nebo v místě, kde se obvykle zdržuje, poskytovatel zjistí uvedené místo na základě věcných informací od příjemce, které ověří prostřednictvím kontrolních postupů běžně používaných v obchodní praxi, jako jsou postupy týkající se kontroly totožnosti nebo platby.</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4</w:t>
            </w:r>
          </w:p>
        </w:tc>
        <w:tc>
          <w:tcPr>
            <w:tcW w:w="5400" w:type="dxa"/>
            <w:gridSpan w:val="4"/>
            <w:tcBorders>
              <w:top w:val="single" w:sz="4" w:space="0" w:color="auto"/>
              <w:left w:val="single" w:sz="4" w:space="0" w:color="auto"/>
              <w:bottom w:val="nil"/>
              <w:right w:val="single" w:sz="18" w:space="0" w:color="auto"/>
            </w:tcBorders>
          </w:tcPr>
          <w:p w:rsidR="0051346C" w:rsidRDefault="0051346C" w:rsidP="0051346C">
            <w:pPr>
              <w:shd w:val="clear" w:color="auto" w:fill="FFFFFF"/>
              <w:spacing w:before="60"/>
              <w:jc w:val="both"/>
              <w:rPr>
                <w:color w:val="444444"/>
                <w:sz w:val="18"/>
                <w:szCs w:val="18"/>
              </w:rPr>
            </w:pPr>
            <w:r>
              <w:rPr>
                <w:color w:val="444444"/>
                <w:sz w:val="18"/>
                <w:szCs w:val="18"/>
              </w:rPr>
              <w:t>1. Od 1. ledna 2013 v případě, že jsou služby, na něž se vztahuje čl. 56 odst. 2 první pododstavec směrnice 2006/112/ES poskytnuty osobě nepovinné k dani, která je usazena ve více než jedné zemi nebo má bydliště v jedné zemi a obvykle se zdržuje v jiné zemi, dá se při určování místa poskytnutí uvedených služeb přednost místu, které nejlépe zajistí zdanění v místě skutečné spotřeby.</w:t>
            </w:r>
          </w:p>
          <w:p w:rsidR="00517721" w:rsidRPr="0051346C" w:rsidRDefault="0051346C" w:rsidP="0051346C">
            <w:pPr>
              <w:shd w:val="clear" w:color="auto" w:fill="FFFFFF"/>
              <w:spacing w:before="60"/>
              <w:jc w:val="both"/>
              <w:rPr>
                <w:color w:val="444444"/>
                <w:sz w:val="18"/>
                <w:szCs w:val="18"/>
              </w:rPr>
            </w:pPr>
            <w:r>
              <w:rPr>
                <w:color w:val="444444"/>
                <w:sz w:val="18"/>
                <w:szCs w:val="18"/>
              </w:rPr>
              <w:t>2. V případě, že jsou služby, na něž se vztahují články 58 a 59 směrnice 2006/112/ES, poskytnuty osobě nepovinné k dani, která je usazena ve více než jedné zemi nebo má bydliště v jedné zemi a obvykle se zdržuje v jiné zemi, dá se při určování místa poskytnutí uvedených služeb přednost místu, které nejlépe zajistí zdanění v místě skutečné spotřeby.</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5</w:t>
            </w:r>
          </w:p>
        </w:tc>
        <w:tc>
          <w:tcPr>
            <w:tcW w:w="5400" w:type="dxa"/>
            <w:gridSpan w:val="4"/>
            <w:tcBorders>
              <w:top w:val="single" w:sz="4" w:space="0" w:color="auto"/>
              <w:left w:val="single" w:sz="4" w:space="0" w:color="auto"/>
              <w:bottom w:val="nil"/>
              <w:right w:val="single" w:sz="18" w:space="0" w:color="auto"/>
            </w:tcBorders>
          </w:tcPr>
          <w:p w:rsidR="00517721" w:rsidRPr="0051346C" w:rsidRDefault="0051346C" w:rsidP="0051346C">
            <w:pPr>
              <w:shd w:val="clear" w:color="auto" w:fill="FFFFFF"/>
              <w:spacing w:before="60"/>
              <w:jc w:val="both"/>
              <w:rPr>
                <w:color w:val="444444"/>
                <w:sz w:val="18"/>
                <w:szCs w:val="18"/>
              </w:rPr>
            </w:pPr>
            <w:r>
              <w:rPr>
                <w:color w:val="444444"/>
                <w:sz w:val="18"/>
                <w:szCs w:val="18"/>
              </w:rPr>
              <w:t>Pro účely uplatňování pravidel pro místo poskytnutí služby se zohlední pouze okolnosti existující v okamžiku uskutečnění zdanitelného plnění. Jakékoli následné změny použití obdržených služeb neovlivní určení místa poskytnutí, za podmínky, že nedochází k žádnému zneužití.</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6</w:t>
            </w:r>
          </w:p>
        </w:tc>
        <w:tc>
          <w:tcPr>
            <w:tcW w:w="5400" w:type="dxa"/>
            <w:gridSpan w:val="4"/>
            <w:tcBorders>
              <w:top w:val="single" w:sz="4" w:space="0" w:color="auto"/>
              <w:left w:val="single" w:sz="4" w:space="0" w:color="auto"/>
              <w:bottom w:val="nil"/>
              <w:right w:val="single" w:sz="18" w:space="0" w:color="auto"/>
            </w:tcBorders>
          </w:tcPr>
          <w:p w:rsidR="00517721" w:rsidRPr="0051346C" w:rsidRDefault="0051346C" w:rsidP="0051346C">
            <w:pPr>
              <w:shd w:val="clear" w:color="auto" w:fill="FFFFFF"/>
              <w:spacing w:before="60"/>
              <w:jc w:val="both"/>
              <w:rPr>
                <w:color w:val="444444"/>
                <w:sz w:val="18"/>
                <w:szCs w:val="18"/>
              </w:rPr>
            </w:pPr>
            <w:r>
              <w:rPr>
                <w:color w:val="444444"/>
                <w:sz w:val="18"/>
                <w:szCs w:val="18"/>
              </w:rPr>
              <w:t>Na plnění, v jehož rámci subjekt převádí práva k televiznímu vysílání fotbalových zápasů osobám povinným k dani, se vztahuje článek 44 směrnice 2006/112/ES.</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7</w:t>
            </w:r>
          </w:p>
        </w:tc>
        <w:tc>
          <w:tcPr>
            <w:tcW w:w="5400" w:type="dxa"/>
            <w:gridSpan w:val="4"/>
            <w:tcBorders>
              <w:top w:val="single" w:sz="4" w:space="0" w:color="auto"/>
              <w:left w:val="single" w:sz="4" w:space="0" w:color="auto"/>
              <w:bottom w:val="nil"/>
              <w:right w:val="single" w:sz="18" w:space="0" w:color="auto"/>
            </w:tcBorders>
          </w:tcPr>
          <w:p w:rsidR="00517721" w:rsidRPr="0051346C" w:rsidRDefault="0051346C" w:rsidP="0051346C">
            <w:pPr>
              <w:shd w:val="clear" w:color="auto" w:fill="FFFFFF"/>
              <w:spacing w:before="60"/>
              <w:jc w:val="both"/>
              <w:rPr>
                <w:color w:val="444444"/>
                <w:sz w:val="18"/>
                <w:szCs w:val="18"/>
              </w:rPr>
            </w:pPr>
            <w:r>
              <w:rPr>
                <w:color w:val="444444"/>
                <w:sz w:val="18"/>
                <w:szCs w:val="18"/>
              </w:rPr>
              <w:t>Na poskytnutí služeb spočívajících v žádání o vrácení DPH nebo v přijímání vrácené DPH podle směrnice Rady 2008/9/ES ze dne 12. února 2008, kterou se stanoví prováděcí pravidla pro vrácení daně z přidané hodnoty stanovené směrnicí 2006/112/ES osobám povinným k dani neusazeným v členském státě vrácení daně, ale v jiném členském státě, se vztahuje článek 44 směrnice 2006/112/ES.</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8</w:t>
            </w:r>
          </w:p>
        </w:tc>
        <w:tc>
          <w:tcPr>
            <w:tcW w:w="5400" w:type="dxa"/>
            <w:gridSpan w:val="4"/>
            <w:tcBorders>
              <w:top w:val="single" w:sz="4" w:space="0" w:color="auto"/>
              <w:left w:val="single" w:sz="4" w:space="0" w:color="auto"/>
              <w:bottom w:val="nil"/>
              <w:right w:val="single" w:sz="18" w:space="0" w:color="auto"/>
            </w:tcBorders>
          </w:tcPr>
          <w:p w:rsidR="00517721" w:rsidRPr="0051346C" w:rsidRDefault="0051346C" w:rsidP="0051346C">
            <w:pPr>
              <w:shd w:val="clear" w:color="auto" w:fill="FFFFFF"/>
              <w:spacing w:before="60"/>
              <w:jc w:val="both"/>
              <w:rPr>
                <w:color w:val="444444"/>
                <w:sz w:val="18"/>
                <w:szCs w:val="18"/>
              </w:rPr>
            </w:pPr>
            <w:r>
              <w:rPr>
                <w:color w:val="444444"/>
                <w:sz w:val="18"/>
                <w:szCs w:val="18"/>
              </w:rPr>
              <w:t>Poskytnutí služby uskutečněné v rámci pořádání pohřbu, tvoří-li jedinou službu, spadá do oblasti působnosti článků 44 a 45 směrnice 2006/112/ES.</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517721">
        <w:tc>
          <w:tcPr>
            <w:tcW w:w="1440" w:type="dxa"/>
            <w:tcBorders>
              <w:top w:val="single" w:sz="4" w:space="0" w:color="auto"/>
              <w:left w:val="single" w:sz="4" w:space="0" w:color="auto"/>
              <w:bottom w:val="nil"/>
              <w:right w:val="single" w:sz="4" w:space="0" w:color="auto"/>
            </w:tcBorders>
          </w:tcPr>
          <w:p w:rsidR="00517721" w:rsidRPr="00517721" w:rsidRDefault="00517721" w:rsidP="00517721">
            <w:pPr>
              <w:spacing w:before="60"/>
              <w:rPr>
                <w:sz w:val="18"/>
              </w:rPr>
            </w:pPr>
            <w:r w:rsidRPr="0062116A">
              <w:rPr>
                <w:sz w:val="18"/>
              </w:rPr>
              <w:t>Článek 2</w:t>
            </w:r>
            <w:r w:rsidR="00C90555">
              <w:rPr>
                <w:sz w:val="18"/>
              </w:rPr>
              <w:t>9</w:t>
            </w:r>
          </w:p>
        </w:tc>
        <w:tc>
          <w:tcPr>
            <w:tcW w:w="5400" w:type="dxa"/>
            <w:gridSpan w:val="4"/>
            <w:tcBorders>
              <w:top w:val="single" w:sz="4" w:space="0" w:color="auto"/>
              <w:left w:val="single" w:sz="4" w:space="0" w:color="auto"/>
              <w:bottom w:val="nil"/>
              <w:right w:val="single" w:sz="18" w:space="0" w:color="auto"/>
            </w:tcBorders>
          </w:tcPr>
          <w:p w:rsidR="00517721" w:rsidRDefault="0051346C" w:rsidP="0051346C">
            <w:pPr>
              <w:shd w:val="clear" w:color="auto" w:fill="FFFFFF"/>
              <w:spacing w:before="60"/>
              <w:jc w:val="both"/>
              <w:rPr>
                <w:sz w:val="18"/>
              </w:rPr>
            </w:pPr>
            <w:r>
              <w:rPr>
                <w:color w:val="444444"/>
                <w:sz w:val="18"/>
                <w:szCs w:val="18"/>
              </w:rPr>
              <w:t>Aniž je dotčen článek 41 tohoto nařízení, na poskytnutí služby spočívající v překladu textů se vztahují články 44 a 45 směrnice 2006/112/ES.</w:t>
            </w:r>
          </w:p>
        </w:tc>
        <w:tc>
          <w:tcPr>
            <w:tcW w:w="900" w:type="dxa"/>
            <w:tcBorders>
              <w:top w:val="single" w:sz="4" w:space="0" w:color="auto"/>
              <w:left w:val="single" w:sz="18" w:space="0" w:color="auto"/>
              <w:bottom w:val="nil"/>
              <w:right w:val="single" w:sz="4" w:space="0" w:color="auto"/>
            </w:tcBorders>
          </w:tcPr>
          <w:p w:rsidR="00517721" w:rsidRDefault="00517721">
            <w:pPr>
              <w:rPr>
                <w:sz w:val="18"/>
              </w:rPr>
            </w:pPr>
          </w:p>
        </w:tc>
        <w:tc>
          <w:tcPr>
            <w:tcW w:w="1080" w:type="dxa"/>
            <w:tcBorders>
              <w:top w:val="single" w:sz="4" w:space="0" w:color="auto"/>
              <w:left w:val="single" w:sz="4" w:space="0" w:color="auto"/>
              <w:bottom w:val="nil"/>
              <w:right w:val="single" w:sz="4" w:space="0" w:color="auto"/>
            </w:tcBorders>
          </w:tcPr>
          <w:p w:rsidR="00517721" w:rsidRDefault="00517721">
            <w:pPr>
              <w:rPr>
                <w:sz w:val="18"/>
              </w:rPr>
            </w:pPr>
          </w:p>
        </w:tc>
        <w:tc>
          <w:tcPr>
            <w:tcW w:w="5400" w:type="dxa"/>
            <w:gridSpan w:val="4"/>
            <w:tcBorders>
              <w:top w:val="single" w:sz="4" w:space="0" w:color="auto"/>
              <w:left w:val="single" w:sz="4" w:space="0" w:color="auto"/>
              <w:bottom w:val="nil"/>
              <w:right w:val="single" w:sz="4" w:space="0" w:color="auto"/>
            </w:tcBorders>
          </w:tcPr>
          <w:p w:rsidR="00517721"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517721" w:rsidRDefault="00517721" w:rsidP="00A21979">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517721" w:rsidRDefault="00517721">
            <w:pPr>
              <w:rPr>
                <w:sz w:val="18"/>
              </w:rPr>
            </w:pPr>
          </w:p>
        </w:tc>
      </w:tr>
      <w:tr w:rsidR="006C6378">
        <w:tc>
          <w:tcPr>
            <w:tcW w:w="1440" w:type="dxa"/>
            <w:tcBorders>
              <w:top w:val="single" w:sz="4" w:space="0" w:color="auto"/>
              <w:left w:val="single" w:sz="4" w:space="0" w:color="auto"/>
              <w:bottom w:val="nil"/>
              <w:right w:val="single" w:sz="4" w:space="0" w:color="auto"/>
            </w:tcBorders>
          </w:tcPr>
          <w:p w:rsidR="006C6378" w:rsidRPr="00517721" w:rsidRDefault="006C6378" w:rsidP="00517721">
            <w:pPr>
              <w:spacing w:before="60"/>
              <w:rPr>
                <w:sz w:val="18"/>
              </w:rPr>
            </w:pPr>
            <w:r w:rsidRPr="0062116A">
              <w:rPr>
                <w:sz w:val="18"/>
              </w:rPr>
              <w:t>Článek </w:t>
            </w:r>
            <w:r>
              <w:rPr>
                <w:sz w:val="18"/>
              </w:rPr>
              <w:t>30</w:t>
            </w:r>
          </w:p>
        </w:tc>
        <w:tc>
          <w:tcPr>
            <w:tcW w:w="5400" w:type="dxa"/>
            <w:gridSpan w:val="4"/>
            <w:tcBorders>
              <w:top w:val="single" w:sz="4" w:space="0" w:color="auto"/>
              <w:left w:val="single" w:sz="4" w:space="0" w:color="auto"/>
              <w:bottom w:val="nil"/>
              <w:right w:val="single" w:sz="18" w:space="0" w:color="auto"/>
            </w:tcBorders>
          </w:tcPr>
          <w:p w:rsidR="006C6378" w:rsidRPr="006C6378" w:rsidRDefault="006C6378" w:rsidP="006C6378">
            <w:pPr>
              <w:shd w:val="clear" w:color="auto" w:fill="FFFFFF"/>
              <w:spacing w:before="60"/>
              <w:jc w:val="both"/>
              <w:rPr>
                <w:color w:val="444444"/>
                <w:sz w:val="18"/>
                <w:szCs w:val="18"/>
              </w:rPr>
            </w:pPr>
            <w:r>
              <w:rPr>
                <w:color w:val="444444"/>
                <w:sz w:val="18"/>
                <w:szCs w:val="18"/>
              </w:rPr>
              <w:t>Poskytnutí služby zprostředkovatelem podle článku 46 směrnice 2006/112/ES zahrnuje také služby zprostředkovatelů, kteří jednají jménem a na účet příjemce obstarané služby, a služby zprostředkovatelů, kteří jednají jménem a na účet poskytovatele zprostředkovaných služeb.</w:t>
            </w:r>
          </w:p>
        </w:tc>
        <w:tc>
          <w:tcPr>
            <w:tcW w:w="900" w:type="dxa"/>
            <w:tcBorders>
              <w:top w:val="single" w:sz="4" w:space="0" w:color="auto"/>
              <w:left w:val="single" w:sz="18" w:space="0" w:color="auto"/>
              <w:bottom w:val="nil"/>
              <w:right w:val="single" w:sz="4" w:space="0" w:color="auto"/>
            </w:tcBorders>
          </w:tcPr>
          <w:p w:rsidR="006C6378" w:rsidRDefault="006C6378">
            <w:pPr>
              <w:rPr>
                <w:sz w:val="18"/>
              </w:rPr>
            </w:pPr>
            <w:r>
              <w:rPr>
                <w:sz w:val="18"/>
              </w:rPr>
              <w:t>235/2004 ve znění 489/2009 196/2014</w:t>
            </w:r>
          </w:p>
        </w:tc>
        <w:tc>
          <w:tcPr>
            <w:tcW w:w="1080" w:type="dxa"/>
            <w:tcBorders>
              <w:top w:val="single" w:sz="4" w:space="0" w:color="auto"/>
              <w:left w:val="single" w:sz="4" w:space="0" w:color="auto"/>
              <w:bottom w:val="nil"/>
              <w:right w:val="single" w:sz="4" w:space="0" w:color="auto"/>
            </w:tcBorders>
          </w:tcPr>
          <w:p w:rsidR="006C6378" w:rsidRDefault="006C6378">
            <w:pPr>
              <w:rPr>
                <w:sz w:val="18"/>
              </w:rPr>
            </w:pPr>
            <w:r>
              <w:rPr>
                <w:sz w:val="18"/>
              </w:rPr>
              <w:t>§ 10e</w:t>
            </w:r>
          </w:p>
        </w:tc>
        <w:tc>
          <w:tcPr>
            <w:tcW w:w="5400" w:type="dxa"/>
            <w:gridSpan w:val="4"/>
            <w:tcBorders>
              <w:top w:val="single" w:sz="4" w:space="0" w:color="auto"/>
              <w:left w:val="single" w:sz="4" w:space="0" w:color="auto"/>
              <w:bottom w:val="nil"/>
              <w:right w:val="single" w:sz="4" w:space="0" w:color="auto"/>
            </w:tcBorders>
          </w:tcPr>
          <w:p w:rsidR="006C6378" w:rsidRDefault="006C6378" w:rsidP="003B061A">
            <w:pPr>
              <w:jc w:val="both"/>
              <w:rPr>
                <w:sz w:val="18"/>
              </w:rPr>
            </w:pPr>
            <w:r>
              <w:rPr>
                <w:sz w:val="18"/>
                <w:szCs w:val="18"/>
              </w:rPr>
              <w:t>Místem plnění při poskytnutí služby osobě nepovinné k dani osobou, která jedná jménem a na účet jiné osoby, je místo, kde je místo plnění zajišťovaného plnění.</w:t>
            </w:r>
          </w:p>
        </w:tc>
        <w:tc>
          <w:tcPr>
            <w:tcW w:w="900" w:type="dxa"/>
            <w:tcBorders>
              <w:top w:val="single" w:sz="4" w:space="0" w:color="auto"/>
              <w:left w:val="single" w:sz="4" w:space="0" w:color="auto"/>
              <w:bottom w:val="nil"/>
              <w:right w:val="single" w:sz="4" w:space="0" w:color="auto"/>
            </w:tcBorders>
          </w:tcPr>
          <w:p w:rsidR="006C6378" w:rsidRDefault="00704E5C" w:rsidP="00A21979">
            <w:pPr>
              <w:jc w:val="center"/>
            </w:pPr>
            <w:r>
              <w:rPr>
                <w:sz w:val="18"/>
              </w:rPr>
              <w:t>PAD</w:t>
            </w:r>
          </w:p>
        </w:tc>
        <w:tc>
          <w:tcPr>
            <w:tcW w:w="720" w:type="dxa"/>
            <w:tcBorders>
              <w:top w:val="single" w:sz="4" w:space="0" w:color="auto"/>
              <w:left w:val="single" w:sz="4" w:space="0" w:color="auto"/>
              <w:bottom w:val="nil"/>
              <w:right w:val="single" w:sz="4" w:space="0" w:color="auto"/>
            </w:tcBorders>
          </w:tcPr>
          <w:p w:rsidR="006C6378" w:rsidRDefault="006C6378">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31</w:t>
            </w:r>
          </w:p>
        </w:tc>
        <w:tc>
          <w:tcPr>
            <w:tcW w:w="5400" w:type="dxa"/>
            <w:gridSpan w:val="4"/>
            <w:tcBorders>
              <w:top w:val="single" w:sz="4" w:space="0" w:color="auto"/>
              <w:left w:val="single" w:sz="4" w:space="0" w:color="auto"/>
              <w:bottom w:val="nil"/>
              <w:right w:val="single" w:sz="18" w:space="0" w:color="auto"/>
            </w:tcBorders>
          </w:tcPr>
          <w:p w:rsidR="000635B0" w:rsidRDefault="000635B0" w:rsidP="000635B0">
            <w:pPr>
              <w:shd w:val="clear" w:color="auto" w:fill="FFFFFF"/>
              <w:spacing w:before="60"/>
              <w:jc w:val="both"/>
              <w:rPr>
                <w:color w:val="444444"/>
                <w:sz w:val="18"/>
                <w:szCs w:val="18"/>
              </w:rPr>
            </w:pPr>
            <w:r>
              <w:rPr>
                <w:color w:val="444444"/>
                <w:sz w:val="18"/>
                <w:szCs w:val="18"/>
              </w:rPr>
              <w:t>Služby zprostředkovatelů jednajících jménem a na účet jiné osoby, jež spočívají ve zprostředkování poskytnutí služby ubytování v hotelnictví nebo odvětví s podobnou funkcí, spadají do oblasti působnosti:</w:t>
            </w:r>
          </w:p>
          <w:p w:rsidR="000635B0" w:rsidRDefault="000635B0" w:rsidP="000635B0">
            <w:pPr>
              <w:spacing w:before="60"/>
              <w:jc w:val="both"/>
              <w:rPr>
                <w:color w:val="444444"/>
                <w:sz w:val="18"/>
                <w:szCs w:val="18"/>
              </w:rPr>
            </w:pPr>
            <w:r>
              <w:rPr>
                <w:color w:val="444444"/>
                <w:sz w:val="18"/>
                <w:szCs w:val="18"/>
              </w:rPr>
              <w:t>a) článku 44 směrnice 2006/112/ES, jsou-li poskytnuty osobě povinné k dani, která jedná jako taková, nebo právnické osobě nepovinné k dani považované za osobu povinnou k dani;</w:t>
            </w:r>
          </w:p>
          <w:p w:rsidR="00C90555" w:rsidRPr="000635B0" w:rsidRDefault="000635B0" w:rsidP="000635B0">
            <w:pPr>
              <w:spacing w:before="60"/>
              <w:jc w:val="both"/>
              <w:rPr>
                <w:color w:val="444444"/>
                <w:sz w:val="18"/>
                <w:szCs w:val="18"/>
              </w:rPr>
            </w:pPr>
            <w:r>
              <w:rPr>
                <w:color w:val="444444"/>
                <w:sz w:val="18"/>
                <w:szCs w:val="18"/>
              </w:rPr>
              <w:t>b) článku 46 uvedené směrnice, jsou-li poskytnuty osobě nepovinné k dani.</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32</w:t>
            </w:r>
          </w:p>
        </w:tc>
        <w:tc>
          <w:tcPr>
            <w:tcW w:w="5400" w:type="dxa"/>
            <w:gridSpan w:val="4"/>
            <w:tcBorders>
              <w:top w:val="single" w:sz="4" w:space="0" w:color="auto"/>
              <w:left w:val="single" w:sz="4" w:space="0" w:color="auto"/>
              <w:bottom w:val="nil"/>
              <w:right w:val="single" w:sz="18" w:space="0" w:color="auto"/>
            </w:tcBorders>
          </w:tcPr>
          <w:p w:rsidR="000635B0" w:rsidRDefault="000635B0" w:rsidP="000635B0">
            <w:pPr>
              <w:shd w:val="clear" w:color="auto" w:fill="FFFFFF"/>
              <w:spacing w:before="60"/>
              <w:jc w:val="both"/>
              <w:rPr>
                <w:color w:val="444444"/>
                <w:sz w:val="18"/>
                <w:szCs w:val="18"/>
              </w:rPr>
            </w:pPr>
            <w:r>
              <w:rPr>
                <w:color w:val="444444"/>
                <w:sz w:val="18"/>
                <w:szCs w:val="18"/>
              </w:rPr>
              <w:t>1. Služby spočívající v zajištění vstupu na kulturní, umělecké, sportovní, vědecké, vzdělávací, zábavní nebo podobné akce ve smyslu článku 53 směrnice 2006/112/ES zahrnují poskytnutí služeb, jejichž podstatným rysem je udělení oprávnění ke vstupu na akci výměnou za vstupenku nebo úplatu, včetně úplaty v podobě předplatného, sezónní vstupenky nebo pravidelného poplatku.</w:t>
            </w:r>
          </w:p>
          <w:p w:rsidR="000635B0" w:rsidRDefault="000635B0" w:rsidP="000635B0">
            <w:pPr>
              <w:shd w:val="clear" w:color="auto" w:fill="FFFFFF"/>
              <w:spacing w:before="60"/>
              <w:jc w:val="both"/>
              <w:rPr>
                <w:color w:val="444444"/>
                <w:sz w:val="18"/>
                <w:szCs w:val="18"/>
              </w:rPr>
            </w:pPr>
            <w:r>
              <w:rPr>
                <w:color w:val="444444"/>
                <w:sz w:val="18"/>
                <w:szCs w:val="18"/>
              </w:rPr>
              <w:t>2. Odstavec 1 se vztahuje zejména na:</w:t>
            </w:r>
          </w:p>
          <w:p w:rsidR="000635B0" w:rsidRDefault="000635B0" w:rsidP="000635B0">
            <w:pPr>
              <w:spacing w:before="60"/>
              <w:jc w:val="both"/>
              <w:rPr>
                <w:color w:val="444444"/>
                <w:sz w:val="18"/>
                <w:szCs w:val="18"/>
              </w:rPr>
            </w:pPr>
            <w:r>
              <w:rPr>
                <w:color w:val="444444"/>
                <w:sz w:val="18"/>
                <w:szCs w:val="18"/>
              </w:rPr>
              <w:t>a) oprávnění ke vstupu na kulturní představení, divadelní představení, cirkusová představení, na trhy a veletrhy, do zábavních parků, na koncerty, na výstavy, jakož i na další podobné kulturní akce;</w:t>
            </w:r>
          </w:p>
          <w:p w:rsidR="000635B0" w:rsidRDefault="000635B0" w:rsidP="000635B0">
            <w:pPr>
              <w:spacing w:before="60"/>
              <w:jc w:val="both"/>
              <w:rPr>
                <w:color w:val="444444"/>
                <w:sz w:val="18"/>
                <w:szCs w:val="18"/>
              </w:rPr>
            </w:pPr>
            <w:r>
              <w:rPr>
                <w:color w:val="444444"/>
                <w:sz w:val="18"/>
                <w:szCs w:val="18"/>
              </w:rPr>
              <w:t>b) oprávnění ke vstupu na sportovní akce, jako jsou sportovní zápasy a soutěže;</w:t>
            </w:r>
          </w:p>
          <w:p w:rsidR="000635B0" w:rsidRDefault="000635B0" w:rsidP="000635B0">
            <w:pPr>
              <w:spacing w:before="60"/>
              <w:jc w:val="both"/>
              <w:rPr>
                <w:color w:val="444444"/>
                <w:sz w:val="18"/>
                <w:szCs w:val="18"/>
              </w:rPr>
            </w:pPr>
            <w:r>
              <w:rPr>
                <w:color w:val="444444"/>
                <w:sz w:val="18"/>
                <w:szCs w:val="18"/>
              </w:rPr>
              <w:t>c) oprávnění ke vstupu na vzdělávací a vědecké akce, jako jsou konference a semináře.</w:t>
            </w:r>
          </w:p>
          <w:p w:rsidR="00C90555" w:rsidRPr="000635B0" w:rsidRDefault="000635B0" w:rsidP="000635B0">
            <w:pPr>
              <w:shd w:val="clear" w:color="auto" w:fill="FFFFFF"/>
              <w:spacing w:before="60"/>
              <w:jc w:val="both"/>
              <w:rPr>
                <w:color w:val="444444"/>
                <w:sz w:val="18"/>
                <w:szCs w:val="18"/>
              </w:rPr>
            </w:pPr>
            <w:r>
              <w:rPr>
                <w:color w:val="444444"/>
                <w:sz w:val="18"/>
                <w:szCs w:val="18"/>
              </w:rPr>
              <w:t>3. Odstavec 1 se nevztahuje na používání zařízení, jako jsou tělocvičny a podobná zařízení, za úplatu.</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33</w:t>
            </w:r>
          </w:p>
        </w:tc>
        <w:tc>
          <w:tcPr>
            <w:tcW w:w="5400" w:type="dxa"/>
            <w:gridSpan w:val="4"/>
            <w:tcBorders>
              <w:top w:val="single" w:sz="4" w:space="0" w:color="auto"/>
              <w:left w:val="single" w:sz="4" w:space="0" w:color="auto"/>
              <w:bottom w:val="nil"/>
              <w:right w:val="single" w:sz="18" w:space="0" w:color="auto"/>
            </w:tcBorders>
          </w:tcPr>
          <w:p w:rsidR="000635B0" w:rsidRDefault="000635B0" w:rsidP="000635B0">
            <w:pPr>
              <w:shd w:val="clear" w:color="auto" w:fill="FFFFFF"/>
              <w:spacing w:before="60"/>
              <w:jc w:val="both"/>
              <w:rPr>
                <w:color w:val="444444"/>
                <w:sz w:val="18"/>
                <w:szCs w:val="18"/>
              </w:rPr>
            </w:pPr>
            <w:r>
              <w:rPr>
                <w:color w:val="444444"/>
                <w:sz w:val="18"/>
                <w:szCs w:val="18"/>
              </w:rPr>
              <w:t>Vedlejší služby uvedené v článku 53 směrnice 2006/112/ES zahrnují služby přímo související se vstupem na kulturní, umělecké, sportovní, vědecké, vzdělávací, zábavní nebo podobné akce, poskytované osobě účastnící se akce samostatně za protiplnění.</w:t>
            </w:r>
          </w:p>
          <w:p w:rsidR="00C90555" w:rsidRPr="000635B0" w:rsidRDefault="000635B0" w:rsidP="000635B0">
            <w:pPr>
              <w:shd w:val="clear" w:color="auto" w:fill="FFFFFF"/>
              <w:spacing w:before="60"/>
              <w:jc w:val="both"/>
              <w:rPr>
                <w:color w:val="444444"/>
                <w:sz w:val="18"/>
                <w:szCs w:val="18"/>
              </w:rPr>
            </w:pPr>
            <w:r>
              <w:rPr>
                <w:color w:val="444444"/>
                <w:sz w:val="18"/>
                <w:szCs w:val="18"/>
              </w:rPr>
              <w:t>Takové vedlejší služby zahrnují zejména používání šaten nebo hygienických zařízení, avšak nezahrnují prosté služby zprostředkování související s prodejem vstupenek.</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34</w:t>
            </w:r>
          </w:p>
        </w:tc>
        <w:tc>
          <w:tcPr>
            <w:tcW w:w="5400" w:type="dxa"/>
            <w:gridSpan w:val="4"/>
            <w:tcBorders>
              <w:top w:val="single" w:sz="4" w:space="0" w:color="auto"/>
              <w:left w:val="single" w:sz="4" w:space="0" w:color="auto"/>
              <w:bottom w:val="nil"/>
              <w:right w:val="single" w:sz="18" w:space="0" w:color="auto"/>
            </w:tcBorders>
          </w:tcPr>
          <w:p w:rsidR="00C90555" w:rsidRPr="000635B0" w:rsidRDefault="000635B0" w:rsidP="000635B0">
            <w:pPr>
              <w:shd w:val="clear" w:color="auto" w:fill="FFFFFF"/>
              <w:spacing w:before="60"/>
              <w:jc w:val="both"/>
              <w:rPr>
                <w:color w:val="444444"/>
                <w:sz w:val="18"/>
                <w:szCs w:val="18"/>
              </w:rPr>
            </w:pPr>
            <w:r>
              <w:rPr>
                <w:color w:val="444444"/>
                <w:sz w:val="18"/>
                <w:szCs w:val="18"/>
              </w:rPr>
              <w:t>S výjimkou případů, kdy se zboží montáží stává součástí nemovitého majetku, se místo poskytnutí služby osobě nepovinné k dani spočívající v tom, že osoba povinná k dani pouze provede montáž různých částí stroje, které jí všechny poskytl její zákazník, stanoví podle článku 54 směrnice 2006/112/ES.</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35</w:t>
            </w:r>
          </w:p>
        </w:tc>
        <w:tc>
          <w:tcPr>
            <w:tcW w:w="5400" w:type="dxa"/>
            <w:gridSpan w:val="4"/>
            <w:tcBorders>
              <w:top w:val="single" w:sz="4" w:space="0" w:color="auto"/>
              <w:left w:val="single" w:sz="4" w:space="0" w:color="auto"/>
              <w:bottom w:val="nil"/>
              <w:right w:val="single" w:sz="18" w:space="0" w:color="auto"/>
            </w:tcBorders>
          </w:tcPr>
          <w:p w:rsidR="00C90555" w:rsidRPr="000635B0" w:rsidRDefault="000635B0" w:rsidP="000635B0">
            <w:pPr>
              <w:shd w:val="clear" w:color="auto" w:fill="FFFFFF"/>
              <w:spacing w:before="60"/>
              <w:jc w:val="both"/>
              <w:rPr>
                <w:color w:val="444444"/>
                <w:sz w:val="18"/>
                <w:szCs w:val="18"/>
              </w:rPr>
            </w:pPr>
            <w:r>
              <w:rPr>
                <w:color w:val="444444"/>
                <w:sz w:val="18"/>
                <w:szCs w:val="18"/>
              </w:rPr>
              <w:t>Úsek přepravy cestujících uskutečněný ve Společenství uvedený v článku 57 směrnice 2006/112/ES je určen cestou dopravního prostředku, a nikoliv cestou uskutečněnou každým z cestujících.</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36</w:t>
            </w:r>
          </w:p>
        </w:tc>
        <w:tc>
          <w:tcPr>
            <w:tcW w:w="5400" w:type="dxa"/>
            <w:gridSpan w:val="4"/>
            <w:tcBorders>
              <w:top w:val="single" w:sz="4" w:space="0" w:color="auto"/>
              <w:left w:val="single" w:sz="4" w:space="0" w:color="auto"/>
              <w:bottom w:val="nil"/>
              <w:right w:val="single" w:sz="18" w:space="0" w:color="auto"/>
            </w:tcBorders>
          </w:tcPr>
          <w:p w:rsidR="000635B0" w:rsidRDefault="000635B0" w:rsidP="000635B0">
            <w:pPr>
              <w:shd w:val="clear" w:color="auto" w:fill="FFFFFF"/>
              <w:spacing w:before="60"/>
              <w:jc w:val="both"/>
              <w:rPr>
                <w:color w:val="444444"/>
                <w:sz w:val="18"/>
                <w:szCs w:val="18"/>
              </w:rPr>
            </w:pPr>
            <w:r>
              <w:rPr>
                <w:color w:val="444444"/>
                <w:sz w:val="18"/>
                <w:szCs w:val="18"/>
              </w:rPr>
              <w:t>V případě, že se restaurační a cateringové služby poskytují během úseku přepravy cestujících uskutečněného ve Společenství, vztahuje se na uvedené poskytnutí článek 57 směrnice 2006/112/ES.</w:t>
            </w:r>
          </w:p>
          <w:p w:rsidR="00C90555" w:rsidRPr="000635B0" w:rsidRDefault="000635B0" w:rsidP="000635B0">
            <w:pPr>
              <w:shd w:val="clear" w:color="auto" w:fill="FFFFFF"/>
              <w:spacing w:before="60"/>
              <w:jc w:val="both"/>
              <w:rPr>
                <w:color w:val="444444"/>
                <w:sz w:val="18"/>
                <w:szCs w:val="18"/>
              </w:rPr>
            </w:pPr>
            <w:r>
              <w:rPr>
                <w:color w:val="444444"/>
                <w:sz w:val="18"/>
                <w:szCs w:val="18"/>
              </w:rPr>
              <w:t>V případě, že se restaurační a cateringové služby poskytují mimo takový úsek, ale na území členského státu nebo třetí země či třetího území, vztahuje se na uvedené poskytnutí článek 55 uvedené směrnice.</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37</w:t>
            </w:r>
          </w:p>
        </w:tc>
        <w:tc>
          <w:tcPr>
            <w:tcW w:w="5400" w:type="dxa"/>
            <w:gridSpan w:val="4"/>
            <w:tcBorders>
              <w:top w:val="single" w:sz="4" w:space="0" w:color="auto"/>
              <w:left w:val="single" w:sz="4" w:space="0" w:color="auto"/>
              <w:bottom w:val="nil"/>
              <w:right w:val="single" w:sz="18" w:space="0" w:color="auto"/>
            </w:tcBorders>
          </w:tcPr>
          <w:p w:rsidR="00C90555" w:rsidRPr="000635B0" w:rsidRDefault="000635B0" w:rsidP="000635B0">
            <w:pPr>
              <w:shd w:val="clear" w:color="auto" w:fill="FFFFFF"/>
              <w:spacing w:before="60"/>
              <w:jc w:val="both"/>
              <w:rPr>
                <w:color w:val="444444"/>
                <w:sz w:val="18"/>
                <w:szCs w:val="18"/>
              </w:rPr>
            </w:pPr>
            <w:r>
              <w:rPr>
                <w:color w:val="444444"/>
                <w:sz w:val="18"/>
                <w:szCs w:val="18"/>
              </w:rPr>
              <w:t>Místo poskytnutí restaurační nebo cateringové služby poskytnuté ve Společenství částečně během úseku přepravy cestujících uskutečněného ve Společenství a částečně mimo takový úsek, ale na území členského státu, se určí jako celek podle pravidel pro určení místa poskytnutí služby použitelných na počátku poskytování restaurační nebo cateringové služby.</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38</w:t>
            </w:r>
          </w:p>
        </w:tc>
        <w:tc>
          <w:tcPr>
            <w:tcW w:w="5400" w:type="dxa"/>
            <w:gridSpan w:val="4"/>
            <w:tcBorders>
              <w:top w:val="single" w:sz="4" w:space="0" w:color="auto"/>
              <w:left w:val="single" w:sz="4" w:space="0" w:color="auto"/>
              <w:bottom w:val="nil"/>
              <w:right w:val="single" w:sz="18" w:space="0" w:color="auto"/>
            </w:tcBorders>
          </w:tcPr>
          <w:p w:rsidR="0056199D" w:rsidRPr="0056199D" w:rsidRDefault="0056199D" w:rsidP="0056199D">
            <w:pPr>
              <w:shd w:val="clear" w:color="auto" w:fill="FFFFFF"/>
              <w:spacing w:before="60"/>
              <w:jc w:val="both"/>
              <w:rPr>
                <w:color w:val="444444"/>
                <w:sz w:val="18"/>
                <w:szCs w:val="18"/>
              </w:rPr>
            </w:pPr>
            <w:r w:rsidRPr="0056199D">
              <w:rPr>
                <w:color w:val="444444"/>
                <w:sz w:val="18"/>
                <w:szCs w:val="18"/>
              </w:rPr>
              <w:t>1. „Dopravní prostředky“ podle článku 56 a čl. 59 prvního pododstavce písm. g) směrnice 2006/112/ES zahrnují vozidla, bez ohledu na to, zda motorizovaná či nikoliv, a jiná zařízení a prostředky konstruované k přepravě osob nebo předmětů z jednoho místa do jiného, které mohou být taženy, vlečeny či tlačeny vozidly a které jsou normálně konstruovány pro použití k přepravě a mohou k ní být skutečně použity.</w:t>
            </w:r>
          </w:p>
          <w:p w:rsidR="0056199D" w:rsidRPr="0056199D" w:rsidRDefault="0056199D" w:rsidP="0056199D">
            <w:pPr>
              <w:shd w:val="clear" w:color="auto" w:fill="FFFFFF"/>
              <w:spacing w:before="60"/>
              <w:jc w:val="both"/>
              <w:rPr>
                <w:color w:val="444444"/>
                <w:sz w:val="18"/>
                <w:szCs w:val="18"/>
              </w:rPr>
            </w:pPr>
            <w:r w:rsidRPr="0056199D">
              <w:rPr>
                <w:color w:val="444444"/>
                <w:sz w:val="18"/>
                <w:szCs w:val="18"/>
              </w:rPr>
              <w:t>2. Dopravními prostředky podle odstavce 1 jsou zejména:</w:t>
            </w:r>
          </w:p>
          <w:p w:rsidR="0056199D" w:rsidRPr="0056199D" w:rsidRDefault="0056199D" w:rsidP="00F018D6">
            <w:pPr>
              <w:jc w:val="both"/>
              <w:rPr>
                <w:color w:val="444444"/>
                <w:sz w:val="18"/>
                <w:szCs w:val="18"/>
              </w:rPr>
            </w:pPr>
            <w:r w:rsidRPr="0056199D">
              <w:rPr>
                <w:color w:val="444444"/>
                <w:sz w:val="18"/>
                <w:szCs w:val="18"/>
              </w:rPr>
              <w:t>a) pozemní vozidla jako automobily, motocykly, jízdní kola, tříkolky a obytné přívěsy;</w:t>
            </w:r>
          </w:p>
          <w:p w:rsidR="0056199D" w:rsidRPr="0056199D" w:rsidRDefault="0056199D" w:rsidP="00F018D6">
            <w:pPr>
              <w:jc w:val="both"/>
              <w:rPr>
                <w:color w:val="444444"/>
                <w:sz w:val="18"/>
                <w:szCs w:val="18"/>
              </w:rPr>
            </w:pPr>
            <w:r w:rsidRPr="0056199D">
              <w:rPr>
                <w:color w:val="444444"/>
                <w:sz w:val="18"/>
                <w:szCs w:val="18"/>
              </w:rPr>
              <w:t>b) přívěsy a návěsy;</w:t>
            </w:r>
          </w:p>
          <w:p w:rsidR="0056199D" w:rsidRPr="0056199D" w:rsidRDefault="0056199D" w:rsidP="00F018D6">
            <w:pPr>
              <w:jc w:val="both"/>
              <w:rPr>
                <w:color w:val="444444"/>
                <w:sz w:val="18"/>
                <w:szCs w:val="18"/>
              </w:rPr>
            </w:pPr>
            <w:r w:rsidRPr="0056199D">
              <w:rPr>
                <w:color w:val="444444"/>
                <w:sz w:val="18"/>
                <w:szCs w:val="18"/>
              </w:rPr>
              <w:t>c) železniční vagony;</w:t>
            </w:r>
          </w:p>
          <w:p w:rsidR="0056199D" w:rsidRPr="0056199D" w:rsidRDefault="0056199D" w:rsidP="00F018D6">
            <w:pPr>
              <w:jc w:val="both"/>
              <w:rPr>
                <w:color w:val="444444"/>
                <w:sz w:val="18"/>
                <w:szCs w:val="18"/>
              </w:rPr>
            </w:pPr>
            <w:r w:rsidRPr="0056199D">
              <w:rPr>
                <w:color w:val="444444"/>
                <w:sz w:val="18"/>
                <w:szCs w:val="18"/>
              </w:rPr>
              <w:t>d) lodě;</w:t>
            </w:r>
          </w:p>
          <w:p w:rsidR="0056199D" w:rsidRPr="0056199D" w:rsidRDefault="0056199D" w:rsidP="00F018D6">
            <w:pPr>
              <w:jc w:val="both"/>
              <w:rPr>
                <w:color w:val="444444"/>
                <w:sz w:val="18"/>
                <w:szCs w:val="18"/>
              </w:rPr>
            </w:pPr>
            <w:r w:rsidRPr="0056199D">
              <w:rPr>
                <w:color w:val="444444"/>
                <w:sz w:val="18"/>
                <w:szCs w:val="18"/>
              </w:rPr>
              <w:t>e) letadla;</w:t>
            </w:r>
          </w:p>
          <w:p w:rsidR="0056199D" w:rsidRPr="0056199D" w:rsidRDefault="0056199D" w:rsidP="00F018D6">
            <w:pPr>
              <w:jc w:val="both"/>
              <w:rPr>
                <w:color w:val="444444"/>
                <w:sz w:val="18"/>
                <w:szCs w:val="18"/>
              </w:rPr>
            </w:pPr>
            <w:r w:rsidRPr="0056199D">
              <w:rPr>
                <w:color w:val="444444"/>
                <w:sz w:val="18"/>
                <w:szCs w:val="18"/>
              </w:rPr>
              <w:t>f) vozidla zvlášť konstruovaná pro přepravu nemocných nebo zraněných osob;</w:t>
            </w:r>
          </w:p>
          <w:p w:rsidR="0056199D" w:rsidRPr="0056199D" w:rsidRDefault="0056199D" w:rsidP="00F018D6">
            <w:pPr>
              <w:jc w:val="both"/>
              <w:rPr>
                <w:color w:val="444444"/>
                <w:sz w:val="18"/>
                <w:szCs w:val="18"/>
              </w:rPr>
            </w:pPr>
            <w:r w:rsidRPr="0056199D">
              <w:rPr>
                <w:color w:val="444444"/>
                <w:sz w:val="18"/>
                <w:szCs w:val="18"/>
              </w:rPr>
              <w:t>g) zemědělské traktory a jiná zemědělská vozidla;</w:t>
            </w:r>
          </w:p>
          <w:p w:rsidR="0056199D" w:rsidRPr="0056199D" w:rsidRDefault="0056199D" w:rsidP="00F018D6">
            <w:pPr>
              <w:jc w:val="both"/>
              <w:rPr>
                <w:color w:val="444444"/>
                <w:sz w:val="18"/>
                <w:szCs w:val="18"/>
              </w:rPr>
            </w:pPr>
            <w:r w:rsidRPr="0056199D">
              <w:rPr>
                <w:color w:val="444444"/>
                <w:sz w:val="18"/>
                <w:szCs w:val="18"/>
              </w:rPr>
              <w:t>h) mechanicky nebo elektronicky poháněné vozíky pro invalidy.</w:t>
            </w:r>
          </w:p>
          <w:p w:rsidR="00C90555" w:rsidRPr="0056199D" w:rsidRDefault="0056199D" w:rsidP="0056199D">
            <w:pPr>
              <w:shd w:val="clear" w:color="auto" w:fill="FFFFFF"/>
              <w:spacing w:before="60"/>
              <w:jc w:val="both"/>
              <w:rPr>
                <w:color w:val="444444"/>
                <w:sz w:val="18"/>
                <w:szCs w:val="18"/>
              </w:rPr>
            </w:pPr>
            <w:r w:rsidRPr="0056199D">
              <w:rPr>
                <w:color w:val="444444"/>
                <w:sz w:val="18"/>
                <w:szCs w:val="18"/>
              </w:rPr>
              <w:t>3. Vozidla, která jsou trvale znehybněna, a kontejnery se nepovažují za dopravní prostředky podle odstavce 1.</w:t>
            </w:r>
          </w:p>
        </w:tc>
        <w:tc>
          <w:tcPr>
            <w:tcW w:w="900" w:type="dxa"/>
            <w:tcBorders>
              <w:top w:val="single" w:sz="4" w:space="0" w:color="auto"/>
              <w:left w:val="single" w:sz="18" w:space="0" w:color="auto"/>
              <w:bottom w:val="nil"/>
              <w:right w:val="single" w:sz="4" w:space="0" w:color="auto"/>
            </w:tcBorders>
          </w:tcPr>
          <w:p w:rsidR="00C90555" w:rsidRDefault="0056199D" w:rsidP="00E23D87">
            <w:pPr>
              <w:rPr>
                <w:sz w:val="18"/>
              </w:rPr>
            </w:pPr>
            <w:r w:rsidRPr="0056199D">
              <w:rPr>
                <w:sz w:val="18"/>
              </w:rPr>
              <w:t xml:space="preserve">235/2004 ve znění </w:t>
            </w:r>
            <w:r w:rsidRPr="00E23D87">
              <w:rPr>
                <w:sz w:val="18"/>
              </w:rPr>
              <w:t>502/2012</w:t>
            </w:r>
            <w:r w:rsidRPr="0056199D">
              <w:rPr>
                <w:sz w:val="18"/>
              </w:rPr>
              <w:t xml:space="preserve"> 344/2013 </w:t>
            </w:r>
          </w:p>
        </w:tc>
        <w:tc>
          <w:tcPr>
            <w:tcW w:w="1080" w:type="dxa"/>
            <w:tcBorders>
              <w:top w:val="single" w:sz="4" w:space="0" w:color="auto"/>
              <w:left w:val="single" w:sz="4" w:space="0" w:color="auto"/>
              <w:bottom w:val="nil"/>
              <w:right w:val="single" w:sz="4" w:space="0" w:color="auto"/>
            </w:tcBorders>
          </w:tcPr>
          <w:p w:rsidR="00C90555" w:rsidRDefault="0056199D" w:rsidP="00C90555">
            <w:pPr>
              <w:rPr>
                <w:sz w:val="18"/>
              </w:rPr>
            </w:pPr>
            <w:r>
              <w:rPr>
                <w:sz w:val="18"/>
              </w:rPr>
              <w:t>§ 4 odst. 4 písm. a)</w:t>
            </w:r>
          </w:p>
        </w:tc>
        <w:tc>
          <w:tcPr>
            <w:tcW w:w="5400" w:type="dxa"/>
            <w:gridSpan w:val="4"/>
            <w:tcBorders>
              <w:top w:val="single" w:sz="4" w:space="0" w:color="auto"/>
              <w:left w:val="single" w:sz="4" w:space="0" w:color="auto"/>
              <w:bottom w:val="nil"/>
              <w:right w:val="single" w:sz="4" w:space="0" w:color="auto"/>
            </w:tcBorders>
          </w:tcPr>
          <w:p w:rsidR="0056199D" w:rsidRPr="0056199D" w:rsidRDefault="0056199D" w:rsidP="003B061A">
            <w:pPr>
              <w:jc w:val="both"/>
              <w:rPr>
                <w:sz w:val="18"/>
              </w:rPr>
            </w:pPr>
            <w:r w:rsidRPr="0056199D">
              <w:rPr>
                <w:sz w:val="18"/>
              </w:rPr>
              <w:t>Pro účely tohoto zákona se dále rozumí</w:t>
            </w:r>
          </w:p>
          <w:p w:rsidR="00C90555" w:rsidRDefault="0056199D" w:rsidP="003B061A">
            <w:pPr>
              <w:jc w:val="both"/>
              <w:rPr>
                <w:sz w:val="18"/>
              </w:rPr>
            </w:pPr>
            <w:r w:rsidRPr="0056199D">
              <w:rPr>
                <w:sz w:val="18"/>
              </w:rPr>
              <w:t>a) dopravním prostředkem vozidlo, jiný prostředek nebo zařízení, které jsou určené k přepravě osob nebo zboží z jednoho místa na jiné a které jsou obvykle konstruované pro použití k přepravě a mohou k ní být skutečně použity; za dopravní prostředek se nepovažuje vozidlo, které je trvale znehybněno, ani kontejner,</w:t>
            </w:r>
          </w:p>
        </w:tc>
        <w:tc>
          <w:tcPr>
            <w:tcW w:w="900" w:type="dxa"/>
            <w:tcBorders>
              <w:top w:val="single" w:sz="4" w:space="0" w:color="auto"/>
              <w:left w:val="single" w:sz="4" w:space="0" w:color="auto"/>
              <w:bottom w:val="nil"/>
              <w:right w:val="single" w:sz="4" w:space="0" w:color="auto"/>
            </w:tcBorders>
          </w:tcPr>
          <w:p w:rsidR="00C90555" w:rsidRDefault="00704E5C" w:rsidP="00C90555">
            <w:pPr>
              <w:jc w:val="center"/>
            </w:pPr>
            <w:r>
              <w:rPr>
                <w:sz w:val="18"/>
              </w:rPr>
              <w:t>PAD</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39</w:t>
            </w:r>
          </w:p>
        </w:tc>
        <w:tc>
          <w:tcPr>
            <w:tcW w:w="5400" w:type="dxa"/>
            <w:gridSpan w:val="4"/>
            <w:tcBorders>
              <w:top w:val="single" w:sz="4" w:space="0" w:color="auto"/>
              <w:left w:val="single" w:sz="4" w:space="0" w:color="auto"/>
              <w:bottom w:val="nil"/>
              <w:right w:val="single" w:sz="18" w:space="0" w:color="auto"/>
            </w:tcBorders>
          </w:tcPr>
          <w:p w:rsidR="00C96FFE" w:rsidRDefault="00C96FFE" w:rsidP="00C96FFE">
            <w:pPr>
              <w:shd w:val="clear" w:color="auto" w:fill="FFFFFF"/>
              <w:spacing w:before="60"/>
              <w:jc w:val="both"/>
              <w:rPr>
                <w:color w:val="444444"/>
                <w:sz w:val="18"/>
                <w:szCs w:val="18"/>
              </w:rPr>
            </w:pPr>
            <w:r>
              <w:rPr>
                <w:color w:val="444444"/>
                <w:sz w:val="18"/>
                <w:szCs w:val="18"/>
              </w:rPr>
              <w:t>1. Pro účely článku 56 směrnice 2006/112/ES se doba trvání nepřetržitého držení nebo užívání dopravního prostředku, který je předmětem nájmu, určí na základě smlouvy uzavřené mezi zúčastněnými stranami.</w:t>
            </w:r>
          </w:p>
          <w:p w:rsidR="00C96FFE" w:rsidRDefault="00C96FFE" w:rsidP="00C96FFE">
            <w:pPr>
              <w:shd w:val="clear" w:color="auto" w:fill="FFFFFF"/>
              <w:spacing w:before="60"/>
              <w:jc w:val="both"/>
              <w:rPr>
                <w:color w:val="444444"/>
                <w:sz w:val="18"/>
                <w:szCs w:val="18"/>
              </w:rPr>
            </w:pPr>
            <w:r>
              <w:rPr>
                <w:color w:val="444444"/>
                <w:sz w:val="18"/>
                <w:szCs w:val="18"/>
              </w:rPr>
              <w:t>Smlouva slouží jako domněnka, která může být vyvrácena jakýmikoli skutkovými či právními prostředky, aby se stanovila skutečná doba trvání nepřetržitého držení nebo užívání.</w:t>
            </w:r>
          </w:p>
          <w:p w:rsidR="00C96FFE" w:rsidRDefault="00C96FFE" w:rsidP="00C96FFE">
            <w:pPr>
              <w:shd w:val="clear" w:color="auto" w:fill="FFFFFF"/>
              <w:spacing w:before="60"/>
              <w:jc w:val="both"/>
              <w:rPr>
                <w:color w:val="444444"/>
                <w:sz w:val="18"/>
                <w:szCs w:val="18"/>
              </w:rPr>
            </w:pPr>
            <w:r>
              <w:rPr>
                <w:color w:val="444444"/>
                <w:sz w:val="18"/>
                <w:szCs w:val="18"/>
              </w:rPr>
              <w:t>Překročení smluvně stanovené doby trvání krátkodobého nájmu ve smyslu článku 56 směrnice 2006/112/ES z důvodu zásahu vyšší moci nemá vliv na určení doby trvání nepřetržitého držení nebo užívání dopravního prostředku.</w:t>
            </w:r>
          </w:p>
          <w:p w:rsidR="00C96FFE" w:rsidRDefault="00C96FFE" w:rsidP="00C96FFE">
            <w:pPr>
              <w:shd w:val="clear" w:color="auto" w:fill="FFFFFF"/>
              <w:spacing w:before="60"/>
              <w:jc w:val="both"/>
              <w:rPr>
                <w:color w:val="444444"/>
                <w:sz w:val="18"/>
                <w:szCs w:val="18"/>
              </w:rPr>
            </w:pPr>
            <w:r>
              <w:rPr>
                <w:color w:val="444444"/>
                <w:sz w:val="18"/>
                <w:szCs w:val="18"/>
              </w:rPr>
              <w:t>2. V případě, že se na jeden a ten samý dopravní prostředek vztahují navazující smlouvy uzavřené mezi stejnými stranami, dobou trvání je doba nepřetržitého držení nebo užívání dopravního prostředku na základě všech těchto smluv.</w:t>
            </w:r>
          </w:p>
          <w:p w:rsidR="00C96FFE" w:rsidRDefault="00C96FFE" w:rsidP="00C96FFE">
            <w:pPr>
              <w:shd w:val="clear" w:color="auto" w:fill="FFFFFF"/>
              <w:spacing w:before="60"/>
              <w:jc w:val="both"/>
              <w:rPr>
                <w:color w:val="444444"/>
                <w:sz w:val="18"/>
                <w:szCs w:val="18"/>
              </w:rPr>
            </w:pPr>
            <w:r>
              <w:rPr>
                <w:color w:val="444444"/>
                <w:sz w:val="18"/>
                <w:szCs w:val="18"/>
              </w:rPr>
              <w:t>Pro účely prvního pododstavce jsou smlouva a její prodloužení navazujícími smlouvami.</w:t>
            </w:r>
          </w:p>
          <w:p w:rsidR="00C96FFE" w:rsidRDefault="00C96FFE" w:rsidP="00C96FFE">
            <w:pPr>
              <w:shd w:val="clear" w:color="auto" w:fill="FFFFFF"/>
              <w:spacing w:before="60"/>
              <w:jc w:val="both"/>
              <w:rPr>
                <w:color w:val="444444"/>
                <w:sz w:val="18"/>
                <w:szCs w:val="18"/>
              </w:rPr>
            </w:pPr>
            <w:r>
              <w:rPr>
                <w:color w:val="444444"/>
                <w:sz w:val="18"/>
                <w:szCs w:val="18"/>
              </w:rPr>
              <w:t>Nicméně za podmínky, že nedochází ke zneužití, není doba trvání krátkodobé nájemní smlouvy nebo krátkodobých nájemních smluv, které předcházejí smlouvě považované za dlouhodobou, zpochybněna.</w:t>
            </w:r>
          </w:p>
          <w:p w:rsidR="00C90555" w:rsidRPr="00C96FFE" w:rsidRDefault="00C96FFE" w:rsidP="00C96FFE">
            <w:pPr>
              <w:shd w:val="clear" w:color="auto" w:fill="FFFFFF"/>
              <w:spacing w:before="60"/>
              <w:jc w:val="both"/>
              <w:rPr>
                <w:color w:val="444444"/>
                <w:sz w:val="18"/>
                <w:szCs w:val="18"/>
              </w:rPr>
            </w:pPr>
            <w:r>
              <w:rPr>
                <w:color w:val="444444"/>
                <w:sz w:val="18"/>
                <w:szCs w:val="18"/>
              </w:rPr>
              <w:t>3. Nedochází-li ke zneužití, navazující smlouvy o nájmu uzavřené mezi stejnými stranami, ale týkající se jiných dopravních prostředků, se pro účely odstavce 2 nepovažují za navazující smlouvy.</w:t>
            </w:r>
          </w:p>
        </w:tc>
        <w:tc>
          <w:tcPr>
            <w:tcW w:w="900" w:type="dxa"/>
            <w:tcBorders>
              <w:top w:val="single" w:sz="4" w:space="0" w:color="auto"/>
              <w:left w:val="single" w:sz="18" w:space="0" w:color="auto"/>
              <w:bottom w:val="nil"/>
              <w:right w:val="single" w:sz="4" w:space="0" w:color="auto"/>
            </w:tcBorders>
          </w:tcPr>
          <w:p w:rsidR="00C90555" w:rsidRDefault="00C90555" w:rsidP="00C90555">
            <w:pPr>
              <w:rPr>
                <w:sz w:val="18"/>
              </w:rPr>
            </w:pPr>
          </w:p>
        </w:tc>
        <w:tc>
          <w:tcPr>
            <w:tcW w:w="1080" w:type="dxa"/>
            <w:tcBorders>
              <w:top w:val="single" w:sz="4" w:space="0" w:color="auto"/>
              <w:left w:val="single" w:sz="4" w:space="0" w:color="auto"/>
              <w:bottom w:val="nil"/>
              <w:right w:val="single" w:sz="4" w:space="0" w:color="auto"/>
            </w:tcBorders>
          </w:tcPr>
          <w:p w:rsidR="00C90555" w:rsidRDefault="00C90555" w:rsidP="00C90555">
            <w:pPr>
              <w:rPr>
                <w:sz w:val="18"/>
              </w:rPr>
            </w:pPr>
          </w:p>
        </w:tc>
        <w:tc>
          <w:tcPr>
            <w:tcW w:w="5400" w:type="dxa"/>
            <w:gridSpan w:val="4"/>
            <w:tcBorders>
              <w:top w:val="single" w:sz="4" w:space="0" w:color="auto"/>
              <w:left w:val="single" w:sz="4" w:space="0" w:color="auto"/>
              <w:bottom w:val="nil"/>
              <w:right w:val="single" w:sz="4" w:space="0" w:color="auto"/>
            </w:tcBorders>
          </w:tcPr>
          <w:p w:rsidR="00C90555"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0555" w:rsidRDefault="00C90555" w:rsidP="00C90555">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0555">
        <w:tc>
          <w:tcPr>
            <w:tcW w:w="1440" w:type="dxa"/>
            <w:tcBorders>
              <w:top w:val="single" w:sz="4" w:space="0" w:color="auto"/>
              <w:left w:val="single" w:sz="4" w:space="0" w:color="auto"/>
              <w:bottom w:val="nil"/>
              <w:right w:val="single" w:sz="4" w:space="0" w:color="auto"/>
            </w:tcBorders>
          </w:tcPr>
          <w:p w:rsidR="00C90555" w:rsidRPr="00517721" w:rsidRDefault="00C90555" w:rsidP="00C90555">
            <w:pPr>
              <w:spacing w:before="60"/>
              <w:rPr>
                <w:sz w:val="18"/>
              </w:rPr>
            </w:pPr>
            <w:r w:rsidRPr="0062116A">
              <w:rPr>
                <w:sz w:val="18"/>
              </w:rPr>
              <w:t>Článek </w:t>
            </w:r>
            <w:r>
              <w:rPr>
                <w:sz w:val="18"/>
              </w:rPr>
              <w:t>4</w:t>
            </w:r>
            <w:r w:rsidR="002B5DA5">
              <w:rPr>
                <w:sz w:val="18"/>
              </w:rPr>
              <w:t>0</w:t>
            </w:r>
          </w:p>
        </w:tc>
        <w:tc>
          <w:tcPr>
            <w:tcW w:w="5400" w:type="dxa"/>
            <w:gridSpan w:val="4"/>
            <w:tcBorders>
              <w:top w:val="single" w:sz="4" w:space="0" w:color="auto"/>
              <w:left w:val="single" w:sz="4" w:space="0" w:color="auto"/>
              <w:bottom w:val="nil"/>
              <w:right w:val="single" w:sz="18" w:space="0" w:color="auto"/>
            </w:tcBorders>
          </w:tcPr>
          <w:p w:rsidR="00C90555" w:rsidRPr="002B5DA5" w:rsidRDefault="002B5DA5" w:rsidP="002B5DA5">
            <w:pPr>
              <w:shd w:val="clear" w:color="auto" w:fill="FFFFFF"/>
              <w:spacing w:before="60"/>
              <w:jc w:val="both"/>
              <w:rPr>
                <w:color w:val="444444"/>
                <w:sz w:val="18"/>
                <w:szCs w:val="18"/>
              </w:rPr>
            </w:pPr>
            <w:r>
              <w:rPr>
                <w:color w:val="444444"/>
                <w:sz w:val="18"/>
                <w:szCs w:val="18"/>
              </w:rPr>
              <w:t>Místem, kde je dopravní prostředek skutečně dán zákazníkovi k dispozici, jak je uvedeno v čl. 56 odst. 1 směrnice 2006/112/ES, je místo, kde ho zákazník nebo třetí osoba jednající jeho jménem fyzicky přebírá.</w:t>
            </w:r>
          </w:p>
        </w:tc>
        <w:tc>
          <w:tcPr>
            <w:tcW w:w="900" w:type="dxa"/>
            <w:tcBorders>
              <w:top w:val="single" w:sz="4" w:space="0" w:color="auto"/>
              <w:left w:val="single" w:sz="18" w:space="0" w:color="auto"/>
              <w:bottom w:val="nil"/>
              <w:right w:val="single" w:sz="4" w:space="0" w:color="auto"/>
            </w:tcBorders>
          </w:tcPr>
          <w:p w:rsidR="00C90555" w:rsidRDefault="002B5DA5" w:rsidP="00C90555">
            <w:pPr>
              <w:rPr>
                <w:sz w:val="18"/>
              </w:rPr>
            </w:pPr>
            <w:r w:rsidRPr="002B5DA5">
              <w:rPr>
                <w:sz w:val="18"/>
              </w:rPr>
              <w:t>235/2004 ve znění 502/2012</w:t>
            </w:r>
          </w:p>
        </w:tc>
        <w:tc>
          <w:tcPr>
            <w:tcW w:w="1080" w:type="dxa"/>
            <w:tcBorders>
              <w:top w:val="single" w:sz="4" w:space="0" w:color="auto"/>
              <w:left w:val="single" w:sz="4" w:space="0" w:color="auto"/>
              <w:bottom w:val="nil"/>
              <w:right w:val="single" w:sz="4" w:space="0" w:color="auto"/>
            </w:tcBorders>
          </w:tcPr>
          <w:p w:rsidR="00C90555" w:rsidRDefault="002B5DA5" w:rsidP="00C90555">
            <w:pPr>
              <w:rPr>
                <w:sz w:val="18"/>
              </w:rPr>
            </w:pPr>
            <w:r>
              <w:rPr>
                <w:sz w:val="18"/>
              </w:rPr>
              <w:t>§ 10d odst. 1 1. věta</w:t>
            </w:r>
          </w:p>
        </w:tc>
        <w:tc>
          <w:tcPr>
            <w:tcW w:w="5400" w:type="dxa"/>
            <w:gridSpan w:val="4"/>
            <w:tcBorders>
              <w:top w:val="single" w:sz="4" w:space="0" w:color="auto"/>
              <w:left w:val="single" w:sz="4" w:space="0" w:color="auto"/>
              <w:bottom w:val="nil"/>
              <w:right w:val="single" w:sz="4" w:space="0" w:color="auto"/>
            </w:tcBorders>
          </w:tcPr>
          <w:p w:rsidR="00C90555" w:rsidRPr="002B5DA5" w:rsidRDefault="002B5DA5" w:rsidP="003B061A">
            <w:pPr>
              <w:jc w:val="both"/>
              <w:rPr>
                <w:sz w:val="18"/>
              </w:rPr>
            </w:pPr>
            <w:r w:rsidRPr="002B5DA5">
              <w:rPr>
                <w:sz w:val="18"/>
              </w:rPr>
              <w:t>Místem plnění při poskytnutí krátkodobého nájmu dopravního prostředku je místo, kde osoba, které je služba poskytnuta, dopravní prostředek skutečně fyzicky přebírá.</w:t>
            </w:r>
          </w:p>
        </w:tc>
        <w:tc>
          <w:tcPr>
            <w:tcW w:w="900" w:type="dxa"/>
            <w:tcBorders>
              <w:top w:val="single" w:sz="4" w:space="0" w:color="auto"/>
              <w:left w:val="single" w:sz="4" w:space="0" w:color="auto"/>
              <w:bottom w:val="nil"/>
              <w:right w:val="single" w:sz="4" w:space="0" w:color="auto"/>
            </w:tcBorders>
          </w:tcPr>
          <w:p w:rsidR="00C90555" w:rsidRDefault="00704E5C" w:rsidP="00C90555">
            <w:pPr>
              <w:jc w:val="center"/>
            </w:pPr>
            <w:r>
              <w:rPr>
                <w:sz w:val="18"/>
              </w:rPr>
              <w:t>PAD</w:t>
            </w:r>
          </w:p>
        </w:tc>
        <w:tc>
          <w:tcPr>
            <w:tcW w:w="720" w:type="dxa"/>
            <w:tcBorders>
              <w:top w:val="single" w:sz="4" w:space="0" w:color="auto"/>
              <w:left w:val="single" w:sz="4" w:space="0" w:color="auto"/>
              <w:bottom w:val="nil"/>
              <w:right w:val="single" w:sz="4" w:space="0" w:color="auto"/>
            </w:tcBorders>
          </w:tcPr>
          <w:p w:rsidR="00C90555" w:rsidRDefault="00C90555">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1</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Na poskytnutí služby spočívající v překladu textů osobě nepovinné k dani usazené mimo Společenství se vztahuje čl. 59 první pododstavec písm. c) směrnice 2006/112/ES.</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2</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Podmiňuje-li dodavatel zboží nebo poskytovatel služeb přijetí platby kreditní nebo debetní kartou tím, aby jemu nebo jinému podniku pořizovatel nebo příjemce zaplatil určitou finanční částku, a zůstává-li celková cena, kterou má tento pořizovatel nebo příjemce zaplatit, beze změny bez ohledu na způsob platby, je uvedená finanční částka součástí základu daně z dodaného zboží nebo poskytnutých služeb v souladu s články 73 až 80 směrnice 2006/112/ES.</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3</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„Poskytnutí ubytování v prázdninových táborech“ uvedené v příloze III bodě 12 směrnice 2006/112/ES zahrnuje pronájem stanů, obytných přívěsů nebo obytných automobilů, které jsou umístěny na tábořištích a používány k ubytování.</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4</w:t>
            </w:r>
          </w:p>
        </w:tc>
        <w:tc>
          <w:tcPr>
            <w:tcW w:w="5400" w:type="dxa"/>
            <w:gridSpan w:val="4"/>
            <w:tcBorders>
              <w:top w:val="single" w:sz="4" w:space="0" w:color="auto"/>
              <w:left w:val="single" w:sz="4" w:space="0" w:color="auto"/>
              <w:bottom w:val="nil"/>
              <w:right w:val="single" w:sz="18" w:space="0" w:color="auto"/>
            </w:tcBorders>
          </w:tcPr>
          <w:p w:rsidR="00C96FFE" w:rsidRDefault="004D06A1" w:rsidP="004D06A1">
            <w:pPr>
              <w:shd w:val="clear" w:color="auto" w:fill="FFFFFF"/>
              <w:spacing w:before="60"/>
              <w:jc w:val="both"/>
              <w:rPr>
                <w:sz w:val="18"/>
              </w:rPr>
            </w:pPr>
            <w:r>
              <w:rPr>
                <w:color w:val="444444"/>
                <w:sz w:val="18"/>
                <w:szCs w:val="18"/>
              </w:rPr>
              <w:t>Služby odborného výcviku nebo rekvalifikace poskytované za podmínek uvedených v čl. 132 odst. 1 písm. i) směrnice 2006/112/ES zahrnují výuku přímo související s živností nebo povoláním, jakož i výuku zaměřenou na získání nebo udržování znalostí pro odborné účely. Délka trvání kurzu odborného výcviku nebo rekvalifikace je pro tento účel nepodstatná.</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5</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Osvobození od daně stanovené v čl. 135 odst. 1 písm. e) směrnice 2006/112/ES se nevztahuje na „platinum nobles“.</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6</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Osvobození od daně stanovené v článku 144 směrnice 2006/112/ES se použije na přepravní služby vázané na dovoz movitého majetku uskutečněný v rámci změny místa, kde se osoba zdržuje.</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7</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„Dopravní prostředky pro soukromé použití“ uvedené v čl. 146 odst. 1 písm. b) směrnice 2006/112/ES zahrnují dopravní prostředky používané pro neobchodní účely jinými než fyzickými osobami, jako jsou veřejnoprávní subjekty ve smyslu článku 13 uvedené směrnice a sdružení.</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4D06A1">
              <w:rPr>
                <w:sz w:val="18"/>
              </w:rPr>
              <w:t>8</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Za účelem určení, zda byla překročena prahová hodnota stanovená členským státem podle čl. 147 odst. 1 prvního pododstavce písm. c) směrnice 2006/112/ES jako podmínka osvobození od daně vztahující se na dodání zboží dovezeného v osobních zavazadlech cestujících, je výpočet založen na hodnotě uvedené na faktuře. Celková hodnota více kusů zboží může být použita pouze v případě, že všechno toto zboží je uvedeno na téže faktuře vystavené toutéž osobou povinnou k dani dodávající zboží témuž pořizovateli.</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Pr>
                <w:sz w:val="18"/>
              </w:rPr>
              <w:t>4</w:t>
            </w:r>
            <w:r w:rsidR="00A25B23">
              <w:rPr>
                <w:sz w:val="18"/>
              </w:rPr>
              <w:t>9</w:t>
            </w:r>
          </w:p>
        </w:tc>
        <w:tc>
          <w:tcPr>
            <w:tcW w:w="5400" w:type="dxa"/>
            <w:gridSpan w:val="4"/>
            <w:tcBorders>
              <w:top w:val="single" w:sz="4" w:space="0" w:color="auto"/>
              <w:left w:val="single" w:sz="4" w:space="0" w:color="auto"/>
              <w:bottom w:val="nil"/>
              <w:right w:val="single" w:sz="18" w:space="0" w:color="auto"/>
            </w:tcBorders>
          </w:tcPr>
          <w:p w:rsidR="00C96FFE" w:rsidRPr="004D06A1" w:rsidRDefault="004D06A1" w:rsidP="004D06A1">
            <w:pPr>
              <w:shd w:val="clear" w:color="auto" w:fill="FFFFFF"/>
              <w:spacing w:before="60"/>
              <w:jc w:val="both"/>
              <w:rPr>
                <w:color w:val="444444"/>
                <w:sz w:val="18"/>
                <w:szCs w:val="18"/>
              </w:rPr>
            </w:pPr>
            <w:r>
              <w:rPr>
                <w:color w:val="444444"/>
                <w:sz w:val="18"/>
                <w:szCs w:val="18"/>
              </w:rPr>
              <w:t>Osvobození od daně stanovené v článku 151 směrnice 2006/112/ES se použije také na elektronické služby, pokud jsou uvedené služby poskytovány osobou povinnou k dani, na niž se vztahuje zvláštní režim pro elektronicky poskytované služby stanovený v článcích 357 až 369 uvedené směrnice.</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sidR="00A25B23">
              <w:rPr>
                <w:sz w:val="18"/>
              </w:rPr>
              <w:t>50</w:t>
            </w:r>
          </w:p>
        </w:tc>
        <w:tc>
          <w:tcPr>
            <w:tcW w:w="5400" w:type="dxa"/>
            <w:gridSpan w:val="4"/>
            <w:tcBorders>
              <w:top w:val="single" w:sz="4" w:space="0" w:color="auto"/>
              <w:left w:val="single" w:sz="4" w:space="0" w:color="auto"/>
              <w:bottom w:val="nil"/>
              <w:right w:val="single" w:sz="18" w:space="0" w:color="auto"/>
            </w:tcBorders>
          </w:tcPr>
          <w:p w:rsidR="004D06A1" w:rsidRDefault="004D06A1" w:rsidP="004D06A1">
            <w:pPr>
              <w:shd w:val="clear" w:color="auto" w:fill="FFFFFF"/>
              <w:spacing w:before="60"/>
              <w:jc w:val="both"/>
              <w:rPr>
                <w:color w:val="444444"/>
                <w:sz w:val="18"/>
                <w:szCs w:val="18"/>
              </w:rPr>
            </w:pPr>
            <w:r>
              <w:rPr>
                <w:color w:val="444444"/>
                <w:sz w:val="18"/>
                <w:szCs w:val="18"/>
              </w:rPr>
              <w:t>1. Aby bylo možné pro účely čl. 143 odst. 1 písm. g) a čl. 151 odst. 1 prvního pododstavce písm. b) směrnice 2006/112/ES uznat subjekt zřízený jako konsorcium evropské výzkumné infrastruktury (ERIC) podle nařízení (ES) č. 723/2009 ze dne 25. června 2009 o právním rámci Společenství pro konsorcium evropské výzkumné infrastruktury</w:t>
            </w:r>
            <w:hyperlink r:id="rId7" w:anchor="ntr8-L_2011077CS.01000101-E0008" w:history="1">
              <w:r>
                <w:rPr>
                  <w:rStyle w:val="Hypertextovodkaz"/>
                  <w:color w:val="3366CC"/>
                  <w:sz w:val="18"/>
                  <w:szCs w:val="18"/>
                </w:rPr>
                <w:t> (</w:t>
              </w:r>
              <w:r>
                <w:rPr>
                  <w:rStyle w:val="Hypertextovodkaz"/>
                  <w:color w:val="3366CC"/>
                  <w:sz w:val="18"/>
                  <w:szCs w:val="18"/>
                  <w:vertAlign w:val="superscript"/>
                </w:rPr>
                <w:t>8</w:t>
              </w:r>
              <w:r>
                <w:rPr>
                  <w:rStyle w:val="Hypertextovodkaz"/>
                  <w:color w:val="3366CC"/>
                  <w:sz w:val="18"/>
                  <w:szCs w:val="18"/>
                </w:rPr>
                <w:t>)</w:t>
              </w:r>
            </w:hyperlink>
            <w:r>
              <w:rPr>
                <w:color w:val="444444"/>
                <w:sz w:val="18"/>
                <w:szCs w:val="18"/>
              </w:rPr>
              <w:t xml:space="preserve"> za mezinárodní organizaci, musí splňovat následující kritéria:</w:t>
            </w:r>
          </w:p>
          <w:p w:rsidR="004D06A1" w:rsidRDefault="004D06A1" w:rsidP="004D06A1">
            <w:pPr>
              <w:spacing w:before="60"/>
              <w:jc w:val="both"/>
              <w:rPr>
                <w:color w:val="444444"/>
                <w:sz w:val="18"/>
                <w:szCs w:val="18"/>
              </w:rPr>
            </w:pPr>
            <w:r>
              <w:rPr>
                <w:color w:val="444444"/>
                <w:sz w:val="18"/>
                <w:szCs w:val="18"/>
              </w:rPr>
              <w:t>a) musí mít samostatnou právní subjektivitu a plnou právní způsobilost;</w:t>
            </w:r>
          </w:p>
          <w:p w:rsidR="004D06A1" w:rsidRDefault="004D06A1" w:rsidP="004D06A1">
            <w:pPr>
              <w:spacing w:before="60"/>
              <w:jc w:val="both"/>
              <w:rPr>
                <w:color w:val="444444"/>
                <w:sz w:val="18"/>
                <w:szCs w:val="18"/>
              </w:rPr>
            </w:pPr>
            <w:r>
              <w:rPr>
                <w:color w:val="444444"/>
                <w:sz w:val="18"/>
                <w:szCs w:val="18"/>
              </w:rPr>
              <w:t>b) musí být zřízen podle práva Evropské unie a musí mu podléhat;</w:t>
            </w:r>
          </w:p>
          <w:p w:rsidR="004D06A1" w:rsidRDefault="004D06A1" w:rsidP="004D06A1">
            <w:pPr>
              <w:spacing w:before="60"/>
              <w:jc w:val="both"/>
              <w:rPr>
                <w:color w:val="444444"/>
                <w:sz w:val="18"/>
                <w:szCs w:val="18"/>
              </w:rPr>
            </w:pPr>
            <w:r>
              <w:rPr>
                <w:color w:val="444444"/>
                <w:sz w:val="18"/>
                <w:szCs w:val="18"/>
              </w:rPr>
              <w:t>c) mezi jeho členy musí být členské státy a případně třetí země a mezivládní organizace, avšak soukromé subjekty jsou vyloučeny;</w:t>
            </w:r>
          </w:p>
          <w:p w:rsidR="004D06A1" w:rsidRDefault="004D06A1" w:rsidP="004D06A1">
            <w:pPr>
              <w:spacing w:before="60"/>
              <w:jc w:val="both"/>
              <w:rPr>
                <w:color w:val="444444"/>
                <w:sz w:val="18"/>
                <w:szCs w:val="18"/>
              </w:rPr>
            </w:pPr>
            <w:r>
              <w:rPr>
                <w:color w:val="444444"/>
                <w:sz w:val="18"/>
                <w:szCs w:val="18"/>
              </w:rPr>
              <w:t>d) musí mít zvláštní a legitimní cíle, které jsou společně sledovány a jejichž povaha je v podstatě neekonomická.</w:t>
            </w:r>
          </w:p>
          <w:p w:rsidR="004D06A1" w:rsidRDefault="004D06A1" w:rsidP="004D06A1">
            <w:pPr>
              <w:shd w:val="clear" w:color="auto" w:fill="FFFFFF"/>
              <w:spacing w:before="60"/>
              <w:jc w:val="both"/>
              <w:rPr>
                <w:color w:val="444444"/>
                <w:sz w:val="18"/>
                <w:szCs w:val="18"/>
              </w:rPr>
            </w:pPr>
            <w:r>
              <w:rPr>
                <w:color w:val="444444"/>
                <w:sz w:val="18"/>
                <w:szCs w:val="18"/>
              </w:rPr>
              <w:t>2. Osvobození od daně stanovené v čl. 143 odst. 1 písm. g) a čl. 151 odst. 1 prvním pododstavci písm. b) směrnice 2006/112/ES se vztahuje na konsorcium ERIC uvedené v odstavci 1 v případě, že je hostitelským členským státem uznáno za mezinárodní.</w:t>
            </w:r>
          </w:p>
          <w:p w:rsidR="00C96FFE" w:rsidRPr="004D06A1" w:rsidRDefault="004D06A1" w:rsidP="004D06A1">
            <w:pPr>
              <w:shd w:val="clear" w:color="auto" w:fill="FFFFFF"/>
              <w:spacing w:before="60"/>
              <w:jc w:val="both"/>
              <w:rPr>
                <w:color w:val="444444"/>
                <w:sz w:val="18"/>
                <w:szCs w:val="18"/>
              </w:rPr>
            </w:pPr>
            <w:r>
              <w:rPr>
                <w:color w:val="444444"/>
                <w:sz w:val="18"/>
                <w:szCs w:val="18"/>
              </w:rPr>
              <w:t>Omezení a podmínky týkající se takového osvobození od daně se stanoví v dohodě mezi členy konsorcia ERIC v souladu s čl. 5 odst. 1 písm. d) nařízení (ES) č. 723/2009. V případě, že zboží není odesíláno nebo přepravováno z členského státu, v němž se dodání uskutečňuje, a v případě poskytnutí služby se osvobození od daně může uskutečnit v podobě vrácení DPH v souladu s čl. 151 odst. 2 směrnice 2006/112/ES.</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A25B23">
            <w:pPr>
              <w:spacing w:before="60"/>
              <w:rPr>
                <w:sz w:val="18"/>
              </w:rPr>
            </w:pPr>
            <w:r w:rsidRPr="0062116A">
              <w:rPr>
                <w:sz w:val="18"/>
              </w:rPr>
              <w:t>Článek </w:t>
            </w:r>
            <w:r w:rsidR="00A25B23">
              <w:rPr>
                <w:sz w:val="18"/>
              </w:rPr>
              <w:t>5</w:t>
            </w:r>
            <w:r w:rsidR="00B16E69">
              <w:rPr>
                <w:sz w:val="18"/>
              </w:rPr>
              <w:t>1</w:t>
            </w:r>
          </w:p>
        </w:tc>
        <w:tc>
          <w:tcPr>
            <w:tcW w:w="5400" w:type="dxa"/>
            <w:gridSpan w:val="4"/>
            <w:tcBorders>
              <w:top w:val="single" w:sz="4" w:space="0" w:color="auto"/>
              <w:left w:val="single" w:sz="4" w:space="0" w:color="auto"/>
              <w:bottom w:val="nil"/>
              <w:right w:val="single" w:sz="18" w:space="0" w:color="auto"/>
            </w:tcBorders>
          </w:tcPr>
          <w:p w:rsidR="00B16E69" w:rsidRDefault="00B16E69" w:rsidP="00B16E69">
            <w:pPr>
              <w:shd w:val="clear" w:color="auto" w:fill="FFFFFF"/>
              <w:spacing w:before="60"/>
              <w:jc w:val="both"/>
              <w:rPr>
                <w:color w:val="444444"/>
                <w:sz w:val="18"/>
                <w:szCs w:val="18"/>
              </w:rPr>
            </w:pPr>
            <w:r>
              <w:rPr>
                <w:color w:val="444444"/>
                <w:sz w:val="18"/>
                <w:szCs w:val="18"/>
              </w:rPr>
              <w:t>1. V případě, že je osoba, která přijímá dodání zboží nebo poskytnutí služby, usazena ve Společenství, ale nikoliv v členském státě, kde se dodání nebo poskytnutí uskutečňuje, slouží osvědčení o osvobození od DPH nebo spotřební daně stanovené v příloze II tohoto nařízení jako potvrzení, že toto plnění splňuje podmínky pro osvobození podle článku 151 směrnice 2006/112/ES, s výhradou vysvětlivek obsažených v příloze uvedeného osvědčení.</w:t>
            </w:r>
          </w:p>
          <w:p w:rsidR="00B16E69" w:rsidRDefault="00B16E69" w:rsidP="00B16E69">
            <w:pPr>
              <w:shd w:val="clear" w:color="auto" w:fill="FFFFFF"/>
              <w:spacing w:before="60"/>
              <w:jc w:val="both"/>
              <w:rPr>
                <w:color w:val="444444"/>
                <w:sz w:val="18"/>
                <w:szCs w:val="18"/>
              </w:rPr>
            </w:pPr>
            <w:r>
              <w:rPr>
                <w:color w:val="444444"/>
                <w:sz w:val="18"/>
                <w:szCs w:val="18"/>
              </w:rPr>
              <w:t>V souvislosti s používáním tohoto osvědčení může členský stát, ve kterém je osoba přijímající dodání zboží nebo poskytnutí služby usazena, rozhodnout, zda použije společné osvědčení o osvobození od DPH a spotřební daně nebo dvě různá osvědčení.</w:t>
            </w:r>
          </w:p>
          <w:p w:rsidR="00B16E69" w:rsidRDefault="00B16E69" w:rsidP="00B16E69">
            <w:pPr>
              <w:shd w:val="clear" w:color="auto" w:fill="FFFFFF"/>
              <w:spacing w:before="60"/>
              <w:jc w:val="both"/>
              <w:rPr>
                <w:color w:val="444444"/>
                <w:sz w:val="18"/>
                <w:szCs w:val="18"/>
              </w:rPr>
            </w:pPr>
            <w:r>
              <w:rPr>
                <w:color w:val="444444"/>
                <w:sz w:val="18"/>
                <w:szCs w:val="18"/>
              </w:rPr>
              <w:t>2. Osvědčení uvedené v odstavci 1 je příslušnými orgány hostitelského členského státu opatřeno úředním razítkem. Pokud jsou však zboží či služby určeny k úřednímu použití, může členský stát zprostit pořizovatele nebo příjemce povinnosti opatřit osvědčení úředním razítkem podle podmínek, které stanoví. Zproštění této povinnosti může být v případě zneužití zrušeno.</w:t>
            </w:r>
          </w:p>
          <w:p w:rsidR="00B16E69" w:rsidRDefault="00B16E69" w:rsidP="00B16E69">
            <w:pPr>
              <w:shd w:val="clear" w:color="auto" w:fill="FFFFFF"/>
              <w:spacing w:before="60"/>
              <w:jc w:val="both"/>
              <w:rPr>
                <w:color w:val="444444"/>
                <w:sz w:val="18"/>
                <w:szCs w:val="18"/>
              </w:rPr>
            </w:pPr>
            <w:r>
              <w:rPr>
                <w:color w:val="444444"/>
                <w:sz w:val="18"/>
                <w:szCs w:val="18"/>
              </w:rPr>
              <w:t>Členské státy informují Komisi o kontaktním místu pro stanovení útvarů odpovědných za opatření osvědčení úředním razítkem a o rozsahu zproštění od povinnosti opatřit osvědčení úředním razítkem. Komise informuje ostatní členské státy o informacích, které obdržela od členských států.</w:t>
            </w:r>
          </w:p>
          <w:p w:rsidR="00C96FFE" w:rsidRPr="00B16E69" w:rsidRDefault="00B16E69" w:rsidP="00B16E69">
            <w:pPr>
              <w:shd w:val="clear" w:color="auto" w:fill="FFFFFF"/>
              <w:spacing w:before="60"/>
              <w:jc w:val="both"/>
              <w:rPr>
                <w:color w:val="444444"/>
                <w:sz w:val="18"/>
                <w:szCs w:val="18"/>
              </w:rPr>
            </w:pPr>
            <w:r>
              <w:rPr>
                <w:color w:val="444444"/>
                <w:sz w:val="18"/>
                <w:szCs w:val="18"/>
              </w:rPr>
              <w:t>3. V případě, že se přímé osvobození od daně uplatňuje v členském státě, v němž se uskutečňuje dodání nebo poskytnutí, obdrží dodavatel nebo poskytovatel osvědčení uvedené v odstavci 1 tohoto článku od pořizovatele zboží nebo příjemce služeb a ponechá si jej mezi svými záznamy. Je-li osvobození od daně uskutečněno v podobě vrácení DPH podle čl. 151 odst. 2 směrnice 2006/112/ES, připojí se osvědčení k žádosti o vrácení DPH podané v dotčeném členském státě.</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C96FFE">
        <w:tc>
          <w:tcPr>
            <w:tcW w:w="1440" w:type="dxa"/>
            <w:tcBorders>
              <w:top w:val="single" w:sz="4" w:space="0" w:color="auto"/>
              <w:left w:val="single" w:sz="4" w:space="0" w:color="auto"/>
              <w:bottom w:val="nil"/>
              <w:right w:val="single" w:sz="4" w:space="0" w:color="auto"/>
            </w:tcBorders>
          </w:tcPr>
          <w:p w:rsidR="00C96FFE" w:rsidRPr="00517721" w:rsidRDefault="00C96FFE" w:rsidP="00C24BA2">
            <w:pPr>
              <w:spacing w:before="60"/>
              <w:rPr>
                <w:sz w:val="18"/>
              </w:rPr>
            </w:pPr>
            <w:r w:rsidRPr="0062116A">
              <w:rPr>
                <w:sz w:val="18"/>
              </w:rPr>
              <w:t>Článek </w:t>
            </w:r>
            <w:r w:rsidR="00A25B23">
              <w:rPr>
                <w:sz w:val="18"/>
              </w:rPr>
              <w:t>5</w:t>
            </w:r>
            <w:r w:rsidR="00BE53A9">
              <w:rPr>
                <w:sz w:val="18"/>
              </w:rPr>
              <w:t>2</w:t>
            </w:r>
          </w:p>
        </w:tc>
        <w:tc>
          <w:tcPr>
            <w:tcW w:w="5400" w:type="dxa"/>
            <w:gridSpan w:val="4"/>
            <w:tcBorders>
              <w:top w:val="single" w:sz="4" w:space="0" w:color="auto"/>
              <w:left w:val="single" w:sz="4" w:space="0" w:color="auto"/>
              <w:bottom w:val="nil"/>
              <w:right w:val="single" w:sz="18" w:space="0" w:color="auto"/>
            </w:tcBorders>
          </w:tcPr>
          <w:p w:rsidR="00C96FFE" w:rsidRPr="00B16E69" w:rsidRDefault="00B16E69" w:rsidP="00B16E69">
            <w:pPr>
              <w:shd w:val="clear" w:color="auto" w:fill="FFFFFF"/>
              <w:spacing w:before="60"/>
              <w:jc w:val="both"/>
              <w:rPr>
                <w:color w:val="444444"/>
                <w:sz w:val="18"/>
                <w:szCs w:val="18"/>
              </w:rPr>
            </w:pPr>
            <w:r>
              <w:rPr>
                <w:color w:val="444444"/>
                <w:sz w:val="18"/>
                <w:szCs w:val="18"/>
              </w:rPr>
              <w:t>Zavedl-li členský stát dovozu elektronický systém pro zpracování celních formalit, pojem „dovozní doklad“ v čl. 178 písm. e) směrnice 2006/112/ES zahrnuje elektronické verze těchto dokladů, pokud tyto verze umožňují kontrolu uplatnění nároku na odpočet.</w:t>
            </w:r>
          </w:p>
        </w:tc>
        <w:tc>
          <w:tcPr>
            <w:tcW w:w="900" w:type="dxa"/>
            <w:tcBorders>
              <w:top w:val="single" w:sz="4" w:space="0" w:color="auto"/>
              <w:left w:val="single" w:sz="18" w:space="0" w:color="auto"/>
              <w:bottom w:val="nil"/>
              <w:right w:val="single" w:sz="4" w:space="0" w:color="auto"/>
            </w:tcBorders>
          </w:tcPr>
          <w:p w:rsidR="00C96FFE" w:rsidRDefault="00C96FFE" w:rsidP="00C24BA2">
            <w:pPr>
              <w:rPr>
                <w:sz w:val="18"/>
              </w:rPr>
            </w:pPr>
          </w:p>
        </w:tc>
        <w:tc>
          <w:tcPr>
            <w:tcW w:w="1080" w:type="dxa"/>
            <w:tcBorders>
              <w:top w:val="single" w:sz="4" w:space="0" w:color="auto"/>
              <w:left w:val="single" w:sz="4" w:space="0" w:color="auto"/>
              <w:bottom w:val="nil"/>
              <w:right w:val="single" w:sz="4" w:space="0" w:color="auto"/>
            </w:tcBorders>
          </w:tcPr>
          <w:p w:rsidR="00C96FFE" w:rsidRDefault="00C96FFE" w:rsidP="00C24BA2">
            <w:pPr>
              <w:rPr>
                <w:sz w:val="18"/>
              </w:rPr>
            </w:pPr>
          </w:p>
        </w:tc>
        <w:tc>
          <w:tcPr>
            <w:tcW w:w="5400" w:type="dxa"/>
            <w:gridSpan w:val="4"/>
            <w:tcBorders>
              <w:top w:val="single" w:sz="4" w:space="0" w:color="auto"/>
              <w:left w:val="single" w:sz="4" w:space="0" w:color="auto"/>
              <w:bottom w:val="nil"/>
              <w:right w:val="single" w:sz="4" w:space="0" w:color="auto"/>
            </w:tcBorders>
          </w:tcPr>
          <w:p w:rsidR="00C96FFE"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C96FFE" w:rsidRDefault="00C96FFE"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C96FFE" w:rsidRDefault="00C96FFE">
            <w:pPr>
              <w:rPr>
                <w:sz w:val="18"/>
              </w:rPr>
            </w:pPr>
          </w:p>
        </w:tc>
      </w:tr>
      <w:tr w:rsidR="00AF132B" w:rsidTr="00CD136E">
        <w:tc>
          <w:tcPr>
            <w:tcW w:w="1440" w:type="dxa"/>
            <w:tcBorders>
              <w:top w:val="single" w:sz="4" w:space="0" w:color="auto"/>
              <w:left w:val="single" w:sz="4" w:space="0" w:color="auto"/>
              <w:bottom w:val="nil"/>
              <w:right w:val="single" w:sz="4" w:space="0" w:color="auto"/>
            </w:tcBorders>
          </w:tcPr>
          <w:p w:rsidR="00AF132B" w:rsidRPr="0062116A" w:rsidRDefault="00AF132B" w:rsidP="00C24BA2">
            <w:pPr>
              <w:spacing w:before="60"/>
              <w:rPr>
                <w:sz w:val="18"/>
              </w:rPr>
            </w:pPr>
            <w:r w:rsidRPr="0062116A">
              <w:rPr>
                <w:sz w:val="18"/>
              </w:rPr>
              <w:t>Článek </w:t>
            </w:r>
            <w:r>
              <w:rPr>
                <w:sz w:val="18"/>
              </w:rPr>
              <w:t>53 odst. 1</w:t>
            </w:r>
          </w:p>
        </w:tc>
        <w:tc>
          <w:tcPr>
            <w:tcW w:w="5400" w:type="dxa"/>
            <w:gridSpan w:val="4"/>
            <w:tcBorders>
              <w:top w:val="single" w:sz="4" w:space="0" w:color="auto"/>
              <w:left w:val="single" w:sz="4" w:space="0" w:color="auto"/>
              <w:bottom w:val="nil"/>
              <w:right w:val="single" w:sz="18" w:space="0" w:color="auto"/>
            </w:tcBorders>
          </w:tcPr>
          <w:p w:rsidR="00AF132B" w:rsidRPr="00BE53A9" w:rsidRDefault="00AF132B" w:rsidP="00BE53A9">
            <w:pPr>
              <w:shd w:val="clear" w:color="auto" w:fill="FFFFFF"/>
              <w:spacing w:before="60"/>
              <w:jc w:val="both"/>
              <w:rPr>
                <w:color w:val="444444"/>
                <w:sz w:val="18"/>
                <w:szCs w:val="18"/>
              </w:rPr>
            </w:pPr>
            <w:r>
              <w:rPr>
                <w:color w:val="444444"/>
                <w:sz w:val="18"/>
                <w:szCs w:val="18"/>
              </w:rPr>
              <w:t>1. Pro účely článku 192a směrnice 2006/112/ES se stálá provozovna osoby povinné k dani zohlední pouze tehdy, pokud se vyznačuje dostatečnou úrovní stálosti a vhodnou strukturou z hlediska lidských a technických zdrojů, což jí umožňuje uskutečnit dodání zboží nebo poskytnutí služby, jehož se účastní.</w:t>
            </w:r>
          </w:p>
        </w:tc>
        <w:tc>
          <w:tcPr>
            <w:tcW w:w="900" w:type="dxa"/>
            <w:tcBorders>
              <w:top w:val="single" w:sz="4" w:space="0" w:color="auto"/>
              <w:left w:val="single" w:sz="18" w:space="0" w:color="auto"/>
              <w:bottom w:val="nil"/>
              <w:right w:val="single" w:sz="4" w:space="0" w:color="auto"/>
            </w:tcBorders>
          </w:tcPr>
          <w:p w:rsidR="00AF132B" w:rsidRDefault="00AF132B" w:rsidP="00C24BA2">
            <w:pPr>
              <w:rPr>
                <w:sz w:val="18"/>
              </w:rPr>
            </w:pPr>
            <w:r w:rsidRPr="0098273A">
              <w:rPr>
                <w:sz w:val="18"/>
              </w:rPr>
              <w:t xml:space="preserve">235/2004 ve znění 502/2012 </w:t>
            </w:r>
            <w:r w:rsidR="00FF35A8">
              <w:rPr>
                <w:sz w:val="18"/>
              </w:rPr>
              <w:t xml:space="preserve">344/2013 </w:t>
            </w:r>
            <w:r w:rsidRPr="0098273A">
              <w:rPr>
                <w:sz w:val="18"/>
              </w:rPr>
              <w:t>360/2014</w:t>
            </w:r>
          </w:p>
        </w:tc>
        <w:tc>
          <w:tcPr>
            <w:tcW w:w="1080" w:type="dxa"/>
            <w:tcBorders>
              <w:top w:val="single" w:sz="4" w:space="0" w:color="auto"/>
              <w:left w:val="single" w:sz="4" w:space="0" w:color="auto"/>
              <w:bottom w:val="nil"/>
              <w:right w:val="single" w:sz="4" w:space="0" w:color="auto"/>
            </w:tcBorders>
          </w:tcPr>
          <w:p w:rsidR="00AF132B" w:rsidRDefault="00AF132B" w:rsidP="00C24BA2">
            <w:pPr>
              <w:rPr>
                <w:sz w:val="18"/>
              </w:rPr>
            </w:pPr>
            <w:r>
              <w:rPr>
                <w:sz w:val="18"/>
              </w:rPr>
              <w:t>§ 4 odst. 1 písm. j)</w:t>
            </w:r>
          </w:p>
        </w:tc>
        <w:tc>
          <w:tcPr>
            <w:tcW w:w="5400" w:type="dxa"/>
            <w:gridSpan w:val="4"/>
            <w:tcBorders>
              <w:top w:val="single" w:sz="4" w:space="0" w:color="auto"/>
              <w:left w:val="single" w:sz="4" w:space="0" w:color="auto"/>
              <w:bottom w:val="nil"/>
              <w:right w:val="single" w:sz="4" w:space="0" w:color="auto"/>
            </w:tcBorders>
          </w:tcPr>
          <w:p w:rsidR="00AF132B" w:rsidRDefault="00AF132B" w:rsidP="003B061A">
            <w:pPr>
              <w:spacing w:before="60"/>
              <w:jc w:val="both"/>
              <w:rPr>
                <w:sz w:val="18"/>
              </w:rPr>
            </w:pPr>
            <w:r w:rsidRPr="002A50DB">
              <w:rPr>
                <w:sz w:val="18"/>
              </w:rPr>
              <w:t>Pro účely tohoto zákona se rozumí:</w:t>
            </w:r>
          </w:p>
          <w:p w:rsidR="00AF132B" w:rsidRDefault="00AF132B" w:rsidP="003B061A">
            <w:pPr>
              <w:spacing w:before="60"/>
              <w:jc w:val="both"/>
              <w:rPr>
                <w:sz w:val="18"/>
              </w:rPr>
            </w:pPr>
            <w:r>
              <w:rPr>
                <w:sz w:val="18"/>
              </w:rPr>
              <w:t xml:space="preserve">j) </w:t>
            </w:r>
            <w:r w:rsidRPr="00721A5F">
              <w:rPr>
                <w:sz w:val="18"/>
              </w:rPr>
              <w:t>provozovnou organizační složka osoby povinné k dani, která může uskutečňovat dodání zboží nebo poskytnutí služby, neboť je dostatečně stálá a má vhodné personální a technické zdroje,</w:t>
            </w:r>
          </w:p>
        </w:tc>
        <w:tc>
          <w:tcPr>
            <w:tcW w:w="900" w:type="dxa"/>
            <w:tcBorders>
              <w:top w:val="single" w:sz="4" w:space="0" w:color="auto"/>
              <w:left w:val="single" w:sz="4" w:space="0" w:color="auto"/>
              <w:bottom w:val="nil"/>
              <w:right w:val="single" w:sz="4" w:space="0" w:color="auto"/>
            </w:tcBorders>
          </w:tcPr>
          <w:p w:rsidR="00AF132B" w:rsidRDefault="00704E5C" w:rsidP="00C24BA2">
            <w:pPr>
              <w:jc w:val="center"/>
            </w:pPr>
            <w:r>
              <w:rPr>
                <w:sz w:val="18"/>
              </w:rPr>
              <w:t>PAD</w:t>
            </w:r>
          </w:p>
        </w:tc>
        <w:tc>
          <w:tcPr>
            <w:tcW w:w="720" w:type="dxa"/>
            <w:tcBorders>
              <w:top w:val="single" w:sz="4" w:space="0" w:color="auto"/>
              <w:left w:val="single" w:sz="4" w:space="0" w:color="auto"/>
              <w:bottom w:val="nil"/>
              <w:right w:val="single" w:sz="4" w:space="0" w:color="auto"/>
            </w:tcBorders>
          </w:tcPr>
          <w:p w:rsidR="00AF132B" w:rsidRDefault="00AF132B">
            <w:pPr>
              <w:rPr>
                <w:sz w:val="18"/>
              </w:rPr>
            </w:pPr>
          </w:p>
        </w:tc>
      </w:tr>
      <w:tr w:rsidR="00CD136E" w:rsidTr="00CD136E">
        <w:tc>
          <w:tcPr>
            <w:tcW w:w="1440" w:type="dxa"/>
            <w:tcBorders>
              <w:top w:val="nil"/>
              <w:left w:val="single" w:sz="4" w:space="0" w:color="auto"/>
              <w:bottom w:val="single" w:sz="4" w:space="0" w:color="auto"/>
              <w:right w:val="single" w:sz="4" w:space="0" w:color="auto"/>
            </w:tcBorders>
          </w:tcPr>
          <w:p w:rsidR="00CD136E" w:rsidRPr="0062116A" w:rsidRDefault="00CD136E" w:rsidP="00C24BA2">
            <w:pPr>
              <w:spacing w:before="60"/>
              <w:rPr>
                <w:sz w:val="18"/>
              </w:rPr>
            </w:pPr>
          </w:p>
        </w:tc>
        <w:tc>
          <w:tcPr>
            <w:tcW w:w="5400" w:type="dxa"/>
            <w:gridSpan w:val="4"/>
            <w:tcBorders>
              <w:top w:val="nil"/>
              <w:left w:val="single" w:sz="4" w:space="0" w:color="auto"/>
              <w:bottom w:val="single" w:sz="4" w:space="0" w:color="auto"/>
              <w:right w:val="single" w:sz="18" w:space="0" w:color="auto"/>
            </w:tcBorders>
          </w:tcPr>
          <w:p w:rsidR="00CD136E" w:rsidRDefault="00CD136E" w:rsidP="00BE53A9">
            <w:pPr>
              <w:shd w:val="clear" w:color="auto" w:fill="FFFFFF"/>
              <w:spacing w:before="60"/>
              <w:jc w:val="both"/>
              <w:rPr>
                <w:color w:val="444444"/>
                <w:sz w:val="18"/>
                <w:szCs w:val="18"/>
              </w:rPr>
            </w:pPr>
          </w:p>
        </w:tc>
        <w:tc>
          <w:tcPr>
            <w:tcW w:w="900" w:type="dxa"/>
            <w:tcBorders>
              <w:top w:val="nil"/>
              <w:left w:val="single" w:sz="18" w:space="0" w:color="auto"/>
              <w:bottom w:val="single" w:sz="4" w:space="0" w:color="auto"/>
              <w:right w:val="single" w:sz="4" w:space="0" w:color="auto"/>
            </w:tcBorders>
          </w:tcPr>
          <w:p w:rsidR="00CD136E" w:rsidRDefault="00CD136E" w:rsidP="00C24BA2">
            <w:pPr>
              <w:rPr>
                <w:sz w:val="18"/>
              </w:rPr>
            </w:pPr>
            <w:r w:rsidRPr="00BE53A9">
              <w:rPr>
                <w:sz w:val="18"/>
              </w:rPr>
              <w:t>235/2004 ve znění 502/2012 360/2014 80/2019</w:t>
            </w:r>
          </w:p>
        </w:tc>
        <w:tc>
          <w:tcPr>
            <w:tcW w:w="1080" w:type="dxa"/>
            <w:tcBorders>
              <w:top w:val="nil"/>
              <w:left w:val="single" w:sz="4" w:space="0" w:color="auto"/>
              <w:bottom w:val="single" w:sz="4" w:space="0" w:color="auto"/>
              <w:right w:val="single" w:sz="4" w:space="0" w:color="auto"/>
            </w:tcBorders>
          </w:tcPr>
          <w:p w:rsidR="00CD136E" w:rsidRDefault="00CD136E" w:rsidP="00CD136E">
            <w:pPr>
              <w:rPr>
                <w:sz w:val="18"/>
              </w:rPr>
            </w:pPr>
            <w:r w:rsidRPr="00BE53A9">
              <w:rPr>
                <w:sz w:val="18"/>
              </w:rPr>
              <w:t>§ 4 odst. 1 písm. l)</w:t>
            </w:r>
            <w:r>
              <w:rPr>
                <w:sz w:val="18"/>
              </w:rPr>
              <w:t xml:space="preserve"> </w:t>
            </w:r>
          </w:p>
        </w:tc>
        <w:tc>
          <w:tcPr>
            <w:tcW w:w="5400" w:type="dxa"/>
            <w:gridSpan w:val="4"/>
            <w:tcBorders>
              <w:top w:val="nil"/>
              <w:left w:val="single" w:sz="4" w:space="0" w:color="auto"/>
              <w:bottom w:val="single" w:sz="4" w:space="0" w:color="auto"/>
              <w:right w:val="single" w:sz="4" w:space="0" w:color="auto"/>
            </w:tcBorders>
          </w:tcPr>
          <w:p w:rsidR="00CD136E" w:rsidRPr="00BE53A9" w:rsidRDefault="00CD136E" w:rsidP="003B061A">
            <w:pPr>
              <w:jc w:val="both"/>
              <w:rPr>
                <w:sz w:val="18"/>
              </w:rPr>
            </w:pPr>
            <w:r w:rsidRPr="00BE53A9">
              <w:rPr>
                <w:sz w:val="18"/>
              </w:rPr>
              <w:t>Pro účely tohoto zákona se rozumí:</w:t>
            </w:r>
          </w:p>
          <w:p w:rsidR="00CD136E" w:rsidRPr="00BE53A9" w:rsidRDefault="00CD136E" w:rsidP="003B061A">
            <w:pPr>
              <w:jc w:val="both"/>
              <w:rPr>
                <w:sz w:val="18"/>
              </w:rPr>
            </w:pPr>
            <w:r w:rsidRPr="00BE53A9">
              <w:rPr>
                <w:sz w:val="18"/>
              </w:rPr>
              <w:t xml:space="preserve">l) osobou neusazenou v tuzemsku osoba povinná k dani, která </w:t>
            </w:r>
          </w:p>
          <w:p w:rsidR="00CD136E" w:rsidRPr="00BE53A9" w:rsidRDefault="00CD136E" w:rsidP="003B061A">
            <w:pPr>
              <w:jc w:val="both"/>
              <w:rPr>
                <w:sz w:val="18"/>
              </w:rPr>
            </w:pPr>
            <w:r w:rsidRPr="00BE53A9">
              <w:rPr>
                <w:sz w:val="18"/>
              </w:rPr>
              <w:t xml:space="preserve">1. nemá sídlo v tuzemsku, </w:t>
            </w:r>
          </w:p>
          <w:p w:rsidR="00CD136E" w:rsidRPr="00BE53A9" w:rsidRDefault="00CD136E" w:rsidP="003B061A">
            <w:pPr>
              <w:jc w:val="both"/>
              <w:rPr>
                <w:sz w:val="18"/>
              </w:rPr>
            </w:pPr>
            <w:r w:rsidRPr="00BE53A9">
              <w:rPr>
                <w:sz w:val="18"/>
              </w:rPr>
              <w:t>2. uskuteční zdanitelné plnění dodání zboží nebo poskytnutí služby s místem plnění v tuzemsku a</w:t>
            </w:r>
          </w:p>
          <w:p w:rsidR="00CD136E" w:rsidRDefault="00CD136E" w:rsidP="003B061A">
            <w:pPr>
              <w:jc w:val="both"/>
              <w:rPr>
                <w:sz w:val="18"/>
              </w:rPr>
            </w:pPr>
            <w:r w:rsidRPr="00CD136E">
              <w:rPr>
                <w:sz w:val="18"/>
              </w:rPr>
              <w:t>3. v tuzemsku nemá provozovnu nebo v tuzemsku má provozovnu, která se tohoto plnění neúčastní,</w:t>
            </w:r>
          </w:p>
        </w:tc>
        <w:tc>
          <w:tcPr>
            <w:tcW w:w="900" w:type="dxa"/>
            <w:tcBorders>
              <w:top w:val="nil"/>
              <w:left w:val="single" w:sz="4" w:space="0" w:color="auto"/>
              <w:bottom w:val="single" w:sz="4" w:space="0" w:color="auto"/>
              <w:right w:val="single" w:sz="4" w:space="0" w:color="auto"/>
            </w:tcBorders>
          </w:tcPr>
          <w:p w:rsidR="00CD136E" w:rsidRDefault="00CD136E" w:rsidP="00C24BA2">
            <w:pPr>
              <w:jc w:val="center"/>
              <w:rPr>
                <w:sz w:val="18"/>
              </w:rPr>
            </w:pPr>
          </w:p>
        </w:tc>
        <w:tc>
          <w:tcPr>
            <w:tcW w:w="720" w:type="dxa"/>
            <w:tcBorders>
              <w:top w:val="nil"/>
              <w:left w:val="single" w:sz="4" w:space="0" w:color="auto"/>
              <w:bottom w:val="single" w:sz="4" w:space="0" w:color="auto"/>
              <w:right w:val="single" w:sz="4" w:space="0" w:color="auto"/>
            </w:tcBorders>
          </w:tcPr>
          <w:p w:rsidR="00CD136E" w:rsidRDefault="00CD136E">
            <w:pPr>
              <w:rPr>
                <w:sz w:val="18"/>
              </w:rPr>
            </w:pPr>
          </w:p>
        </w:tc>
      </w:tr>
      <w:tr w:rsidR="00A25B23" w:rsidTr="00CD136E">
        <w:tc>
          <w:tcPr>
            <w:tcW w:w="1440" w:type="dxa"/>
            <w:tcBorders>
              <w:top w:val="single" w:sz="4" w:space="0" w:color="auto"/>
              <w:left w:val="single" w:sz="4" w:space="0" w:color="auto"/>
              <w:bottom w:val="nil"/>
              <w:right w:val="single" w:sz="4" w:space="0" w:color="auto"/>
            </w:tcBorders>
          </w:tcPr>
          <w:p w:rsidR="00A25B23" w:rsidRPr="00517721" w:rsidRDefault="00A25B23" w:rsidP="00C24BA2">
            <w:pPr>
              <w:spacing w:before="60"/>
              <w:rPr>
                <w:sz w:val="18"/>
              </w:rPr>
            </w:pPr>
            <w:r w:rsidRPr="0062116A">
              <w:rPr>
                <w:sz w:val="18"/>
              </w:rPr>
              <w:t>Článek </w:t>
            </w:r>
            <w:r>
              <w:rPr>
                <w:sz w:val="18"/>
              </w:rPr>
              <w:t>5</w:t>
            </w:r>
            <w:r w:rsidR="00843BC7">
              <w:rPr>
                <w:sz w:val="18"/>
              </w:rPr>
              <w:t>3</w:t>
            </w:r>
            <w:r w:rsidR="00AF132B">
              <w:rPr>
                <w:sz w:val="18"/>
              </w:rPr>
              <w:t xml:space="preserve"> odst. 2</w:t>
            </w:r>
          </w:p>
        </w:tc>
        <w:tc>
          <w:tcPr>
            <w:tcW w:w="5400" w:type="dxa"/>
            <w:gridSpan w:val="4"/>
            <w:tcBorders>
              <w:top w:val="single" w:sz="4" w:space="0" w:color="auto"/>
              <w:left w:val="single" w:sz="4" w:space="0" w:color="auto"/>
              <w:bottom w:val="nil"/>
              <w:right w:val="single" w:sz="18" w:space="0" w:color="auto"/>
            </w:tcBorders>
          </w:tcPr>
          <w:p w:rsidR="00AF132B" w:rsidRDefault="00AF132B" w:rsidP="00AF132B">
            <w:pPr>
              <w:shd w:val="clear" w:color="auto" w:fill="FFFFFF"/>
              <w:spacing w:before="60"/>
              <w:jc w:val="both"/>
              <w:rPr>
                <w:color w:val="444444"/>
                <w:sz w:val="18"/>
                <w:szCs w:val="18"/>
              </w:rPr>
            </w:pPr>
            <w:r>
              <w:rPr>
                <w:color w:val="444444"/>
                <w:sz w:val="18"/>
                <w:szCs w:val="18"/>
              </w:rPr>
              <w:t>2. Má se za to, že stálá provozovna, kterou má osoba povinná k dani na území členského státu, v němž je DPH splatná, se neúčastní dodání zboží nebo poskytnutí služby ve smyslu čl. 192a písm. b) směrnice 2006/112/ES, pokud tato osoba nepoužívá technické a lidské zdroje této stálé provozovny k uskutečnění plnění nedílně spojených se zajištěním zdanitelného dodání tohoto zboží nebo poskytnutí této služby uskutečněného v rámci uvedeného členského státu, ať již před uskutečněním tohoto dodání zboží či poskytnutí služby nebo během něj.</w:t>
            </w:r>
          </w:p>
          <w:p w:rsidR="00AF132B" w:rsidRDefault="00AF132B" w:rsidP="00AF132B">
            <w:pPr>
              <w:shd w:val="clear" w:color="auto" w:fill="FFFFFF"/>
              <w:spacing w:before="60"/>
              <w:jc w:val="both"/>
              <w:rPr>
                <w:color w:val="444444"/>
                <w:sz w:val="18"/>
                <w:szCs w:val="18"/>
              </w:rPr>
            </w:pPr>
            <w:r>
              <w:rPr>
                <w:color w:val="444444"/>
                <w:sz w:val="18"/>
                <w:szCs w:val="18"/>
              </w:rPr>
              <w:t>V případě, že jsou zdroje stálé provozovny používány pouze pro činnosti správní podpory, jako je účetnictví, fakturace a vymáhání pohledávek, nepovažují se za zdroje používané pro zajištění dodání zboží nebo poskytnutí služby.</w:t>
            </w:r>
          </w:p>
          <w:p w:rsidR="00A25B23" w:rsidRPr="00AF132B" w:rsidRDefault="00AF132B" w:rsidP="00AF132B">
            <w:pPr>
              <w:shd w:val="clear" w:color="auto" w:fill="FFFFFF"/>
              <w:spacing w:before="60"/>
              <w:jc w:val="both"/>
              <w:rPr>
                <w:color w:val="444444"/>
                <w:sz w:val="18"/>
                <w:szCs w:val="18"/>
              </w:rPr>
            </w:pPr>
            <w:r>
              <w:rPr>
                <w:color w:val="444444"/>
                <w:sz w:val="18"/>
                <w:szCs w:val="18"/>
              </w:rPr>
              <w:t>Pokud však je vydána faktura pod identifikačním číslem pro DPH přiděleným členským státem stálé provozovny, na uvedenou stálou provozovnu se pohlíží tak, že se účastní dodání zboží nebo poskytnutí služby uskutečněného v uvedeném členském státě, není-li prokázán opak.</w:t>
            </w:r>
          </w:p>
        </w:tc>
        <w:tc>
          <w:tcPr>
            <w:tcW w:w="900" w:type="dxa"/>
            <w:tcBorders>
              <w:top w:val="single" w:sz="4" w:space="0" w:color="auto"/>
              <w:left w:val="single" w:sz="18" w:space="0" w:color="auto"/>
              <w:bottom w:val="nil"/>
              <w:right w:val="single" w:sz="4" w:space="0" w:color="auto"/>
            </w:tcBorders>
          </w:tcPr>
          <w:p w:rsidR="00A25B23" w:rsidRDefault="00A25B23" w:rsidP="00BE53A9">
            <w:pPr>
              <w:rPr>
                <w:sz w:val="18"/>
              </w:rPr>
            </w:pPr>
          </w:p>
        </w:tc>
        <w:tc>
          <w:tcPr>
            <w:tcW w:w="1080" w:type="dxa"/>
            <w:tcBorders>
              <w:top w:val="single" w:sz="4" w:space="0" w:color="auto"/>
              <w:left w:val="single" w:sz="4" w:space="0" w:color="auto"/>
              <w:bottom w:val="nil"/>
              <w:right w:val="single" w:sz="4" w:space="0" w:color="auto"/>
            </w:tcBorders>
          </w:tcPr>
          <w:p w:rsidR="00A25B23" w:rsidRDefault="00A25B23" w:rsidP="00C24BA2">
            <w:pPr>
              <w:rPr>
                <w:sz w:val="18"/>
              </w:rPr>
            </w:pPr>
          </w:p>
        </w:tc>
        <w:tc>
          <w:tcPr>
            <w:tcW w:w="5400" w:type="dxa"/>
            <w:gridSpan w:val="4"/>
            <w:tcBorders>
              <w:top w:val="single" w:sz="4" w:space="0" w:color="auto"/>
              <w:left w:val="single" w:sz="4" w:space="0" w:color="auto"/>
              <w:bottom w:val="nil"/>
              <w:right w:val="single" w:sz="4" w:space="0" w:color="auto"/>
            </w:tcBorders>
          </w:tcPr>
          <w:p w:rsidR="00A25B23"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5B23" w:rsidRDefault="00A25B23"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5B23" w:rsidRDefault="00A25B23">
            <w:pPr>
              <w:rPr>
                <w:sz w:val="18"/>
              </w:rPr>
            </w:pPr>
          </w:p>
        </w:tc>
      </w:tr>
      <w:tr w:rsidR="00CD136E">
        <w:tc>
          <w:tcPr>
            <w:tcW w:w="1440" w:type="dxa"/>
            <w:tcBorders>
              <w:top w:val="single" w:sz="4" w:space="0" w:color="auto"/>
              <w:left w:val="single" w:sz="4" w:space="0" w:color="auto"/>
              <w:bottom w:val="nil"/>
              <w:right w:val="single" w:sz="4" w:space="0" w:color="auto"/>
            </w:tcBorders>
          </w:tcPr>
          <w:p w:rsidR="00CD136E" w:rsidRPr="00517721" w:rsidRDefault="00CD136E" w:rsidP="00C24BA2">
            <w:pPr>
              <w:spacing w:before="60"/>
              <w:rPr>
                <w:sz w:val="18"/>
              </w:rPr>
            </w:pPr>
            <w:r w:rsidRPr="0062116A">
              <w:rPr>
                <w:sz w:val="18"/>
              </w:rPr>
              <w:t>Článek </w:t>
            </w:r>
            <w:r>
              <w:rPr>
                <w:sz w:val="18"/>
              </w:rPr>
              <w:t>54</w:t>
            </w:r>
          </w:p>
        </w:tc>
        <w:tc>
          <w:tcPr>
            <w:tcW w:w="5400" w:type="dxa"/>
            <w:gridSpan w:val="4"/>
            <w:tcBorders>
              <w:top w:val="single" w:sz="4" w:space="0" w:color="auto"/>
              <w:left w:val="single" w:sz="4" w:space="0" w:color="auto"/>
              <w:bottom w:val="nil"/>
              <w:right w:val="single" w:sz="18" w:space="0" w:color="auto"/>
            </w:tcBorders>
          </w:tcPr>
          <w:p w:rsidR="00CD136E" w:rsidRPr="00CD136E" w:rsidRDefault="00CD136E" w:rsidP="00CD136E">
            <w:pPr>
              <w:shd w:val="clear" w:color="auto" w:fill="FFFFFF"/>
              <w:spacing w:before="60"/>
              <w:jc w:val="both"/>
              <w:rPr>
                <w:color w:val="444444"/>
                <w:sz w:val="18"/>
                <w:szCs w:val="18"/>
              </w:rPr>
            </w:pPr>
            <w:r>
              <w:rPr>
                <w:color w:val="444444"/>
                <w:sz w:val="18"/>
                <w:szCs w:val="18"/>
              </w:rPr>
              <w:t>V případě, že osoba povinná k dani má sídlo ekonomické činnosti na území členského státu, kde je DPH splatná, nepoužije se článek 192a směrnice 2006/112/ES bez ohledu na to, zda se uvedené sídlo ekonomické činnosti účastní či neúčastní dodání zboží nebo poskytnutí služby touto osobou v uvedeném členském státě.</w:t>
            </w:r>
          </w:p>
        </w:tc>
        <w:tc>
          <w:tcPr>
            <w:tcW w:w="900" w:type="dxa"/>
            <w:tcBorders>
              <w:top w:val="single" w:sz="4" w:space="0" w:color="auto"/>
              <w:left w:val="single" w:sz="18" w:space="0" w:color="auto"/>
              <w:bottom w:val="nil"/>
              <w:right w:val="single" w:sz="4" w:space="0" w:color="auto"/>
            </w:tcBorders>
          </w:tcPr>
          <w:p w:rsidR="00CD136E" w:rsidRDefault="00CD136E" w:rsidP="00C24BA2">
            <w:pPr>
              <w:rPr>
                <w:sz w:val="18"/>
              </w:rPr>
            </w:pPr>
            <w:r w:rsidRPr="00BE53A9">
              <w:rPr>
                <w:sz w:val="18"/>
              </w:rPr>
              <w:t>235/2004 ve znění 502/2012 360/2014 80/2019</w:t>
            </w:r>
          </w:p>
        </w:tc>
        <w:tc>
          <w:tcPr>
            <w:tcW w:w="1080" w:type="dxa"/>
            <w:tcBorders>
              <w:top w:val="single" w:sz="4" w:space="0" w:color="auto"/>
              <w:left w:val="single" w:sz="4" w:space="0" w:color="auto"/>
              <w:bottom w:val="nil"/>
              <w:right w:val="single" w:sz="4" w:space="0" w:color="auto"/>
            </w:tcBorders>
          </w:tcPr>
          <w:p w:rsidR="00CD136E" w:rsidRDefault="00CD136E" w:rsidP="00F64095">
            <w:pPr>
              <w:rPr>
                <w:sz w:val="18"/>
              </w:rPr>
            </w:pPr>
            <w:r w:rsidRPr="00BE53A9">
              <w:rPr>
                <w:sz w:val="18"/>
              </w:rPr>
              <w:t>§ 4 odst. 1 písm. l)</w:t>
            </w:r>
            <w:r>
              <w:rPr>
                <w:sz w:val="18"/>
              </w:rPr>
              <w:t xml:space="preserve"> </w:t>
            </w:r>
          </w:p>
        </w:tc>
        <w:tc>
          <w:tcPr>
            <w:tcW w:w="5400" w:type="dxa"/>
            <w:gridSpan w:val="4"/>
            <w:tcBorders>
              <w:top w:val="single" w:sz="4" w:space="0" w:color="auto"/>
              <w:left w:val="single" w:sz="4" w:space="0" w:color="auto"/>
              <w:bottom w:val="nil"/>
              <w:right w:val="single" w:sz="4" w:space="0" w:color="auto"/>
            </w:tcBorders>
          </w:tcPr>
          <w:p w:rsidR="00CD136E" w:rsidRPr="00BE53A9" w:rsidRDefault="00CD136E" w:rsidP="003B061A">
            <w:pPr>
              <w:jc w:val="both"/>
              <w:rPr>
                <w:sz w:val="18"/>
              </w:rPr>
            </w:pPr>
            <w:r w:rsidRPr="00BE53A9">
              <w:rPr>
                <w:sz w:val="18"/>
              </w:rPr>
              <w:t>Pro účely tohoto zákona se rozumí:</w:t>
            </w:r>
          </w:p>
          <w:p w:rsidR="00CD136E" w:rsidRPr="00BE53A9" w:rsidRDefault="00CD136E" w:rsidP="003B061A">
            <w:pPr>
              <w:jc w:val="both"/>
              <w:rPr>
                <w:sz w:val="18"/>
              </w:rPr>
            </w:pPr>
            <w:r w:rsidRPr="00BE53A9">
              <w:rPr>
                <w:sz w:val="18"/>
              </w:rPr>
              <w:t xml:space="preserve">l) osobou neusazenou v tuzemsku osoba povinná k dani, která </w:t>
            </w:r>
          </w:p>
          <w:p w:rsidR="00CD136E" w:rsidRPr="00BE53A9" w:rsidRDefault="00CD136E" w:rsidP="003B061A">
            <w:pPr>
              <w:jc w:val="both"/>
              <w:rPr>
                <w:sz w:val="18"/>
              </w:rPr>
            </w:pPr>
            <w:r w:rsidRPr="00BE53A9">
              <w:rPr>
                <w:sz w:val="18"/>
              </w:rPr>
              <w:t xml:space="preserve">1. nemá sídlo v tuzemsku, </w:t>
            </w:r>
          </w:p>
          <w:p w:rsidR="00CD136E" w:rsidRPr="00BE53A9" w:rsidRDefault="00CD136E" w:rsidP="003B061A">
            <w:pPr>
              <w:jc w:val="both"/>
              <w:rPr>
                <w:sz w:val="18"/>
              </w:rPr>
            </w:pPr>
            <w:r w:rsidRPr="00BE53A9">
              <w:rPr>
                <w:sz w:val="18"/>
              </w:rPr>
              <w:t>2. uskuteční zdanitelné plnění dodání zboží nebo poskytnutí služby s místem plnění v tuzemsku a</w:t>
            </w:r>
          </w:p>
          <w:p w:rsidR="00CD136E" w:rsidRDefault="00F64095" w:rsidP="003B061A">
            <w:pPr>
              <w:jc w:val="both"/>
              <w:rPr>
                <w:sz w:val="18"/>
              </w:rPr>
            </w:pPr>
            <w:r w:rsidRPr="00CD136E">
              <w:rPr>
                <w:sz w:val="18"/>
              </w:rPr>
              <w:t>3. v tuzemsku nemá provozovnu nebo v tuzemsku má provozovnu, která se tohoto plnění neúčastní,</w:t>
            </w:r>
          </w:p>
        </w:tc>
        <w:tc>
          <w:tcPr>
            <w:tcW w:w="900" w:type="dxa"/>
            <w:tcBorders>
              <w:top w:val="single" w:sz="4" w:space="0" w:color="auto"/>
              <w:left w:val="single" w:sz="4" w:space="0" w:color="auto"/>
              <w:bottom w:val="nil"/>
              <w:right w:val="single" w:sz="4" w:space="0" w:color="auto"/>
            </w:tcBorders>
          </w:tcPr>
          <w:p w:rsidR="00CD136E" w:rsidRDefault="00127828" w:rsidP="00C24BA2">
            <w:pPr>
              <w:jc w:val="center"/>
            </w:pPr>
            <w:r>
              <w:rPr>
                <w:sz w:val="18"/>
              </w:rPr>
              <w:t>PAD</w:t>
            </w:r>
          </w:p>
        </w:tc>
        <w:tc>
          <w:tcPr>
            <w:tcW w:w="720" w:type="dxa"/>
            <w:tcBorders>
              <w:top w:val="single" w:sz="4" w:space="0" w:color="auto"/>
              <w:left w:val="single" w:sz="4" w:space="0" w:color="auto"/>
              <w:bottom w:val="nil"/>
              <w:right w:val="single" w:sz="4" w:space="0" w:color="auto"/>
            </w:tcBorders>
          </w:tcPr>
          <w:p w:rsidR="00CD136E" w:rsidRDefault="00CD136E">
            <w:pPr>
              <w:rPr>
                <w:sz w:val="18"/>
              </w:rPr>
            </w:pPr>
          </w:p>
        </w:tc>
      </w:tr>
      <w:tr w:rsidR="00A25B23">
        <w:tc>
          <w:tcPr>
            <w:tcW w:w="1440" w:type="dxa"/>
            <w:tcBorders>
              <w:top w:val="single" w:sz="4" w:space="0" w:color="auto"/>
              <w:left w:val="single" w:sz="4" w:space="0" w:color="auto"/>
              <w:bottom w:val="nil"/>
              <w:right w:val="single" w:sz="4" w:space="0" w:color="auto"/>
            </w:tcBorders>
          </w:tcPr>
          <w:p w:rsidR="00A25B23" w:rsidRPr="00517721" w:rsidRDefault="00A25B23" w:rsidP="00C24BA2">
            <w:pPr>
              <w:spacing w:before="60"/>
              <w:rPr>
                <w:sz w:val="18"/>
              </w:rPr>
            </w:pPr>
            <w:r w:rsidRPr="0062116A">
              <w:rPr>
                <w:sz w:val="18"/>
              </w:rPr>
              <w:t>Článek </w:t>
            </w:r>
            <w:r>
              <w:rPr>
                <w:sz w:val="18"/>
              </w:rPr>
              <w:t>5</w:t>
            </w:r>
            <w:r w:rsidR="00843BC7">
              <w:rPr>
                <w:sz w:val="18"/>
              </w:rPr>
              <w:t>5</w:t>
            </w:r>
          </w:p>
        </w:tc>
        <w:tc>
          <w:tcPr>
            <w:tcW w:w="5400" w:type="dxa"/>
            <w:gridSpan w:val="4"/>
            <w:tcBorders>
              <w:top w:val="single" w:sz="4" w:space="0" w:color="auto"/>
              <w:left w:val="single" w:sz="4" w:space="0" w:color="auto"/>
              <w:bottom w:val="nil"/>
              <w:right w:val="single" w:sz="18" w:space="0" w:color="auto"/>
            </w:tcBorders>
          </w:tcPr>
          <w:p w:rsidR="008A5549" w:rsidRDefault="008A5549" w:rsidP="008A5549">
            <w:pPr>
              <w:shd w:val="clear" w:color="auto" w:fill="FFFFFF"/>
              <w:spacing w:before="60"/>
              <w:jc w:val="both"/>
              <w:rPr>
                <w:color w:val="444444"/>
                <w:sz w:val="18"/>
                <w:szCs w:val="18"/>
              </w:rPr>
            </w:pPr>
            <w:r>
              <w:rPr>
                <w:color w:val="444444"/>
                <w:sz w:val="18"/>
                <w:szCs w:val="18"/>
              </w:rPr>
              <w:t>V případě plnění uvedených v článku 262 směrnice 2006/112/ES musí osoby povinné k dani, kterým je podle článku 214 uvedené směrnice přiděleno osobní identifikační číslo pro DPH, a právnické osoby nepovinné k dani identifikované pro účely DPH, jednají-li jako takové, sdělit své identifikační číslo pro DPH svým dodavatelům zboží nebo poskytovatelům služeb, jakmile je mají.</w:t>
            </w:r>
          </w:p>
          <w:p w:rsidR="00A25B23" w:rsidRPr="008A5549" w:rsidRDefault="008A5549" w:rsidP="008A5549">
            <w:pPr>
              <w:shd w:val="clear" w:color="auto" w:fill="FFFFFF"/>
              <w:spacing w:before="60"/>
              <w:jc w:val="both"/>
              <w:rPr>
                <w:color w:val="444444"/>
                <w:sz w:val="18"/>
                <w:szCs w:val="18"/>
              </w:rPr>
            </w:pPr>
            <w:r>
              <w:rPr>
                <w:color w:val="444444"/>
                <w:sz w:val="18"/>
                <w:szCs w:val="18"/>
              </w:rPr>
              <w:t>Osoby povinné k dani podle čl. 3 odst. 1 písm. b) směrnice 2006/112/ES, které jsou oprávněny k nezdanění svých pořízení zboží uvnitř Společenství podle čl. 4 prvního pododstavce tohoto nařízení, nemusí sdělovat své osobní identifikační číslo pro DPH svým dodavatelům zboží, jestliže jim bylo přiděleno osobní identifikační číslo pro DPH podle čl. 214 odst. 1 písm. d) či e) uvedené směrnice.</w:t>
            </w:r>
          </w:p>
        </w:tc>
        <w:tc>
          <w:tcPr>
            <w:tcW w:w="900" w:type="dxa"/>
            <w:tcBorders>
              <w:top w:val="single" w:sz="4" w:space="0" w:color="auto"/>
              <w:left w:val="single" w:sz="18" w:space="0" w:color="auto"/>
              <w:bottom w:val="nil"/>
              <w:right w:val="single" w:sz="4" w:space="0" w:color="auto"/>
            </w:tcBorders>
          </w:tcPr>
          <w:p w:rsidR="00A25B23" w:rsidRDefault="00A25B23" w:rsidP="00C24BA2">
            <w:pPr>
              <w:rPr>
                <w:sz w:val="18"/>
              </w:rPr>
            </w:pPr>
          </w:p>
        </w:tc>
        <w:tc>
          <w:tcPr>
            <w:tcW w:w="1080" w:type="dxa"/>
            <w:tcBorders>
              <w:top w:val="single" w:sz="4" w:space="0" w:color="auto"/>
              <w:left w:val="single" w:sz="4" w:space="0" w:color="auto"/>
              <w:bottom w:val="nil"/>
              <w:right w:val="single" w:sz="4" w:space="0" w:color="auto"/>
            </w:tcBorders>
          </w:tcPr>
          <w:p w:rsidR="00A25B23" w:rsidRDefault="00A25B23" w:rsidP="00C24BA2">
            <w:pPr>
              <w:rPr>
                <w:sz w:val="18"/>
              </w:rPr>
            </w:pPr>
          </w:p>
        </w:tc>
        <w:tc>
          <w:tcPr>
            <w:tcW w:w="5400" w:type="dxa"/>
            <w:gridSpan w:val="4"/>
            <w:tcBorders>
              <w:top w:val="single" w:sz="4" w:space="0" w:color="auto"/>
              <w:left w:val="single" w:sz="4" w:space="0" w:color="auto"/>
              <w:bottom w:val="nil"/>
              <w:right w:val="single" w:sz="4" w:space="0" w:color="auto"/>
            </w:tcBorders>
          </w:tcPr>
          <w:p w:rsidR="00A25B23"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5B23" w:rsidRDefault="00A25B23"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5B23" w:rsidRDefault="00A25B23">
            <w:pPr>
              <w:rPr>
                <w:sz w:val="18"/>
              </w:rPr>
            </w:pPr>
          </w:p>
        </w:tc>
      </w:tr>
      <w:tr w:rsidR="00A25B23">
        <w:tc>
          <w:tcPr>
            <w:tcW w:w="1440" w:type="dxa"/>
            <w:tcBorders>
              <w:top w:val="single" w:sz="4" w:space="0" w:color="auto"/>
              <w:left w:val="single" w:sz="4" w:space="0" w:color="auto"/>
              <w:bottom w:val="nil"/>
              <w:right w:val="single" w:sz="4" w:space="0" w:color="auto"/>
            </w:tcBorders>
          </w:tcPr>
          <w:p w:rsidR="00A25B23" w:rsidRPr="00517721" w:rsidRDefault="00A25B23" w:rsidP="00C24BA2">
            <w:pPr>
              <w:spacing w:before="60"/>
              <w:rPr>
                <w:sz w:val="18"/>
              </w:rPr>
            </w:pPr>
            <w:r w:rsidRPr="0062116A">
              <w:rPr>
                <w:sz w:val="18"/>
              </w:rPr>
              <w:t>Článek </w:t>
            </w:r>
            <w:r>
              <w:rPr>
                <w:sz w:val="18"/>
              </w:rPr>
              <w:t>5</w:t>
            </w:r>
            <w:r w:rsidR="00843BC7">
              <w:rPr>
                <w:sz w:val="18"/>
              </w:rPr>
              <w:t>6</w:t>
            </w:r>
          </w:p>
        </w:tc>
        <w:tc>
          <w:tcPr>
            <w:tcW w:w="5400" w:type="dxa"/>
            <w:gridSpan w:val="4"/>
            <w:tcBorders>
              <w:top w:val="single" w:sz="4" w:space="0" w:color="auto"/>
              <w:left w:val="single" w:sz="4" w:space="0" w:color="auto"/>
              <w:bottom w:val="nil"/>
              <w:right w:val="single" w:sz="18" w:space="0" w:color="auto"/>
            </w:tcBorders>
          </w:tcPr>
          <w:p w:rsidR="00A25B23" w:rsidRPr="008A5549" w:rsidRDefault="008A5549" w:rsidP="008A5549">
            <w:pPr>
              <w:shd w:val="clear" w:color="auto" w:fill="FFFFFF"/>
              <w:spacing w:before="60"/>
              <w:jc w:val="both"/>
              <w:rPr>
                <w:color w:val="444444"/>
                <w:sz w:val="18"/>
                <w:szCs w:val="18"/>
              </w:rPr>
            </w:pPr>
            <w:r>
              <w:rPr>
                <w:color w:val="444444"/>
                <w:sz w:val="18"/>
                <w:szCs w:val="18"/>
              </w:rPr>
              <w:t>„Hmotnost připouštěná na trhy zlatem“ uvedená v čl. 344 odst. 1 bodu 1 směrnice 2006/112/ES zahrnuje alespoň jednotky a obchodované hmotnosti podle přílohy III tohoto nařízení.</w:t>
            </w:r>
          </w:p>
        </w:tc>
        <w:tc>
          <w:tcPr>
            <w:tcW w:w="900" w:type="dxa"/>
            <w:tcBorders>
              <w:top w:val="single" w:sz="4" w:space="0" w:color="auto"/>
              <w:left w:val="single" w:sz="18" w:space="0" w:color="auto"/>
              <w:bottom w:val="nil"/>
              <w:right w:val="single" w:sz="4" w:space="0" w:color="auto"/>
            </w:tcBorders>
          </w:tcPr>
          <w:p w:rsidR="00A25B23" w:rsidRDefault="00A25B23" w:rsidP="00C24BA2">
            <w:pPr>
              <w:rPr>
                <w:sz w:val="18"/>
              </w:rPr>
            </w:pPr>
          </w:p>
        </w:tc>
        <w:tc>
          <w:tcPr>
            <w:tcW w:w="1080" w:type="dxa"/>
            <w:tcBorders>
              <w:top w:val="single" w:sz="4" w:space="0" w:color="auto"/>
              <w:left w:val="single" w:sz="4" w:space="0" w:color="auto"/>
              <w:bottom w:val="nil"/>
              <w:right w:val="single" w:sz="4" w:space="0" w:color="auto"/>
            </w:tcBorders>
          </w:tcPr>
          <w:p w:rsidR="00A25B23" w:rsidRDefault="00A25B23" w:rsidP="00C24BA2">
            <w:pPr>
              <w:rPr>
                <w:sz w:val="18"/>
              </w:rPr>
            </w:pPr>
          </w:p>
        </w:tc>
        <w:tc>
          <w:tcPr>
            <w:tcW w:w="5400" w:type="dxa"/>
            <w:gridSpan w:val="4"/>
            <w:tcBorders>
              <w:top w:val="single" w:sz="4" w:space="0" w:color="auto"/>
              <w:left w:val="single" w:sz="4" w:space="0" w:color="auto"/>
              <w:bottom w:val="nil"/>
              <w:right w:val="single" w:sz="4" w:space="0" w:color="auto"/>
            </w:tcBorders>
          </w:tcPr>
          <w:p w:rsidR="00A25B23"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5B23" w:rsidRDefault="00A25B23"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5B23" w:rsidRDefault="00A25B23">
            <w:pPr>
              <w:rPr>
                <w:sz w:val="18"/>
              </w:rPr>
            </w:pPr>
          </w:p>
        </w:tc>
      </w:tr>
      <w:tr w:rsidR="00A25B23">
        <w:tc>
          <w:tcPr>
            <w:tcW w:w="1440" w:type="dxa"/>
            <w:tcBorders>
              <w:top w:val="single" w:sz="4" w:space="0" w:color="auto"/>
              <w:left w:val="single" w:sz="4" w:space="0" w:color="auto"/>
              <w:bottom w:val="nil"/>
              <w:right w:val="single" w:sz="4" w:space="0" w:color="auto"/>
            </w:tcBorders>
          </w:tcPr>
          <w:p w:rsidR="00A25B23" w:rsidRPr="00517721" w:rsidRDefault="00A25B23" w:rsidP="00C24BA2">
            <w:pPr>
              <w:spacing w:before="60"/>
              <w:rPr>
                <w:sz w:val="18"/>
              </w:rPr>
            </w:pPr>
            <w:r w:rsidRPr="0062116A">
              <w:rPr>
                <w:sz w:val="18"/>
              </w:rPr>
              <w:t>Článek </w:t>
            </w:r>
            <w:r>
              <w:rPr>
                <w:sz w:val="18"/>
              </w:rPr>
              <w:t>5</w:t>
            </w:r>
            <w:r w:rsidR="00843BC7">
              <w:rPr>
                <w:sz w:val="18"/>
              </w:rPr>
              <w:t>7</w:t>
            </w:r>
          </w:p>
        </w:tc>
        <w:tc>
          <w:tcPr>
            <w:tcW w:w="5400" w:type="dxa"/>
            <w:gridSpan w:val="4"/>
            <w:tcBorders>
              <w:top w:val="single" w:sz="4" w:space="0" w:color="auto"/>
              <w:left w:val="single" w:sz="4" w:space="0" w:color="auto"/>
              <w:bottom w:val="nil"/>
              <w:right w:val="single" w:sz="18" w:space="0" w:color="auto"/>
            </w:tcBorders>
          </w:tcPr>
          <w:p w:rsidR="00A25B23" w:rsidRPr="008A5549" w:rsidRDefault="008A5549" w:rsidP="008A5549">
            <w:pPr>
              <w:shd w:val="clear" w:color="auto" w:fill="FFFFFF"/>
              <w:spacing w:before="60"/>
              <w:jc w:val="both"/>
              <w:rPr>
                <w:color w:val="444444"/>
                <w:sz w:val="18"/>
                <w:szCs w:val="18"/>
              </w:rPr>
            </w:pPr>
            <w:r>
              <w:rPr>
                <w:color w:val="444444"/>
                <w:sz w:val="18"/>
                <w:szCs w:val="18"/>
              </w:rPr>
              <w:t>Pro účely sestavení seznamu zlatých mincí uvedeného v článku 345 směrnice 2006/112/ES je „cena“ a „obvyklá cena“ uvedená v čl. 344 odst. 1 bodě 2 uvedené směrnice cenou a obvyklou cenou k 1. dubnu každého roku. Nepřipadá-li 1. duben na den, kdy se tyto ceny stanoví, použijí se ceny následujícího dne, kdy se stanoví.</w:t>
            </w:r>
          </w:p>
        </w:tc>
        <w:tc>
          <w:tcPr>
            <w:tcW w:w="900" w:type="dxa"/>
            <w:tcBorders>
              <w:top w:val="single" w:sz="4" w:space="0" w:color="auto"/>
              <w:left w:val="single" w:sz="18" w:space="0" w:color="auto"/>
              <w:bottom w:val="nil"/>
              <w:right w:val="single" w:sz="4" w:space="0" w:color="auto"/>
            </w:tcBorders>
          </w:tcPr>
          <w:p w:rsidR="00A25B23" w:rsidRDefault="00A25B23" w:rsidP="00C24BA2">
            <w:pPr>
              <w:rPr>
                <w:sz w:val="18"/>
              </w:rPr>
            </w:pPr>
          </w:p>
        </w:tc>
        <w:tc>
          <w:tcPr>
            <w:tcW w:w="1080" w:type="dxa"/>
            <w:tcBorders>
              <w:top w:val="single" w:sz="4" w:space="0" w:color="auto"/>
              <w:left w:val="single" w:sz="4" w:space="0" w:color="auto"/>
              <w:bottom w:val="nil"/>
              <w:right w:val="single" w:sz="4" w:space="0" w:color="auto"/>
            </w:tcBorders>
          </w:tcPr>
          <w:p w:rsidR="00A25B23" w:rsidRDefault="00A25B23" w:rsidP="00C24BA2">
            <w:pPr>
              <w:rPr>
                <w:sz w:val="18"/>
              </w:rPr>
            </w:pPr>
          </w:p>
        </w:tc>
        <w:tc>
          <w:tcPr>
            <w:tcW w:w="5400" w:type="dxa"/>
            <w:gridSpan w:val="4"/>
            <w:tcBorders>
              <w:top w:val="single" w:sz="4" w:space="0" w:color="auto"/>
              <w:left w:val="single" w:sz="4" w:space="0" w:color="auto"/>
              <w:bottom w:val="nil"/>
              <w:right w:val="single" w:sz="4" w:space="0" w:color="auto"/>
            </w:tcBorders>
          </w:tcPr>
          <w:p w:rsidR="00A25B23"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A25B23" w:rsidRDefault="00A25B23"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5B23" w:rsidRDefault="00A25B23">
            <w:pPr>
              <w:rPr>
                <w:sz w:val="18"/>
              </w:rPr>
            </w:pPr>
          </w:p>
        </w:tc>
      </w:tr>
      <w:tr w:rsidR="00A25B23">
        <w:tc>
          <w:tcPr>
            <w:tcW w:w="1440" w:type="dxa"/>
            <w:tcBorders>
              <w:top w:val="single" w:sz="4" w:space="0" w:color="auto"/>
              <w:left w:val="single" w:sz="4" w:space="0" w:color="auto"/>
              <w:bottom w:val="nil"/>
              <w:right w:val="single" w:sz="4" w:space="0" w:color="auto"/>
            </w:tcBorders>
          </w:tcPr>
          <w:p w:rsidR="00A25B23" w:rsidRPr="00517721" w:rsidRDefault="00A25B23" w:rsidP="00C24BA2">
            <w:pPr>
              <w:spacing w:before="60"/>
              <w:rPr>
                <w:sz w:val="18"/>
              </w:rPr>
            </w:pPr>
            <w:r w:rsidRPr="0062116A">
              <w:rPr>
                <w:sz w:val="18"/>
              </w:rPr>
              <w:t>Článek </w:t>
            </w:r>
            <w:r>
              <w:rPr>
                <w:sz w:val="18"/>
              </w:rPr>
              <w:t>5</w:t>
            </w:r>
            <w:r w:rsidR="00843BC7">
              <w:rPr>
                <w:sz w:val="18"/>
              </w:rPr>
              <w:t>8</w:t>
            </w:r>
          </w:p>
        </w:tc>
        <w:tc>
          <w:tcPr>
            <w:tcW w:w="5400" w:type="dxa"/>
            <w:gridSpan w:val="4"/>
            <w:tcBorders>
              <w:top w:val="single" w:sz="4" w:space="0" w:color="auto"/>
              <w:left w:val="single" w:sz="4" w:space="0" w:color="auto"/>
              <w:bottom w:val="nil"/>
              <w:right w:val="single" w:sz="18" w:space="0" w:color="auto"/>
            </w:tcBorders>
          </w:tcPr>
          <w:p w:rsidR="00F06FC9" w:rsidRDefault="00F06FC9" w:rsidP="00F06FC9">
            <w:pPr>
              <w:shd w:val="clear" w:color="auto" w:fill="FFFFFF"/>
              <w:spacing w:before="60"/>
              <w:jc w:val="both"/>
              <w:rPr>
                <w:color w:val="444444"/>
                <w:sz w:val="18"/>
                <w:szCs w:val="18"/>
              </w:rPr>
            </w:pPr>
            <w:r>
              <w:rPr>
                <w:color w:val="444444"/>
                <w:sz w:val="18"/>
                <w:szCs w:val="18"/>
              </w:rPr>
              <w:t>Splňuje-li v průběhu kalendářního čtvrtletí neusazená osoba povinná k dani používající zvláštní režim pro elektronicky poskytované služby stanovený v článcích 357 až 369 směrnice 2006/112/ES alespoň jedno z kritérií pro vynětí uvedené v článku 363 uvedené směrnice, členský stát identifikace vyjme tuto neusazenou osobu povinnou k dani ze zvláštního režimu. V takovém případě může být neusazená osoba povinná k dani následně ze zvláštního režimu vyňata kdykoli během uvedeného čtvrtletí.</w:t>
            </w:r>
          </w:p>
          <w:p w:rsidR="00A25B23" w:rsidRPr="00F06FC9" w:rsidRDefault="00F06FC9" w:rsidP="00F06FC9">
            <w:pPr>
              <w:shd w:val="clear" w:color="auto" w:fill="FFFFFF"/>
              <w:spacing w:before="60"/>
              <w:jc w:val="both"/>
              <w:rPr>
                <w:color w:val="444444"/>
                <w:sz w:val="18"/>
                <w:szCs w:val="18"/>
              </w:rPr>
            </w:pPr>
            <w:r>
              <w:rPr>
                <w:color w:val="444444"/>
                <w:sz w:val="18"/>
                <w:szCs w:val="18"/>
              </w:rPr>
              <w:t>Pokud jde o služby poskytnuté elektronicky před vynětím, ale během kalendářního čtvrtletí, v němž došlo k vynětí, neusazená osoba povinná k dani předloží přiznání k dani za celé čtvrtletí podle článku 364 směrnice 2006/112/ES. Povinnost předložit toto přiznání k dani se nedotýká případné povinnosti být identifikován pro účely DPH v členském státě podle běžných pravidel.</w:t>
            </w:r>
          </w:p>
        </w:tc>
        <w:tc>
          <w:tcPr>
            <w:tcW w:w="900" w:type="dxa"/>
            <w:tcBorders>
              <w:top w:val="single" w:sz="4" w:space="0" w:color="auto"/>
              <w:left w:val="single" w:sz="18" w:space="0" w:color="auto"/>
              <w:bottom w:val="nil"/>
              <w:right w:val="single" w:sz="4" w:space="0" w:color="auto"/>
            </w:tcBorders>
          </w:tcPr>
          <w:p w:rsidR="00A25B23" w:rsidRDefault="00A25B23" w:rsidP="00C24BA2">
            <w:pPr>
              <w:rPr>
                <w:sz w:val="18"/>
              </w:rPr>
            </w:pPr>
          </w:p>
        </w:tc>
        <w:tc>
          <w:tcPr>
            <w:tcW w:w="1080" w:type="dxa"/>
            <w:tcBorders>
              <w:top w:val="single" w:sz="4" w:space="0" w:color="auto"/>
              <w:left w:val="single" w:sz="4" w:space="0" w:color="auto"/>
              <w:bottom w:val="nil"/>
              <w:right w:val="single" w:sz="4" w:space="0" w:color="auto"/>
            </w:tcBorders>
          </w:tcPr>
          <w:p w:rsidR="00A25B23" w:rsidRDefault="00A25B23" w:rsidP="00C24BA2">
            <w:pPr>
              <w:rPr>
                <w:sz w:val="18"/>
              </w:rPr>
            </w:pPr>
          </w:p>
        </w:tc>
        <w:tc>
          <w:tcPr>
            <w:tcW w:w="5400" w:type="dxa"/>
            <w:gridSpan w:val="4"/>
            <w:tcBorders>
              <w:top w:val="single" w:sz="4" w:space="0" w:color="auto"/>
              <w:left w:val="single" w:sz="4" w:space="0" w:color="auto"/>
              <w:bottom w:val="nil"/>
              <w:right w:val="single" w:sz="4" w:space="0" w:color="auto"/>
            </w:tcBorders>
          </w:tcPr>
          <w:p w:rsidR="00A25B23" w:rsidRPr="00F06FC9" w:rsidRDefault="00F06FC9" w:rsidP="003B061A">
            <w:pPr>
              <w:jc w:val="both"/>
              <w:rPr>
                <w:i/>
                <w:sz w:val="18"/>
              </w:rPr>
            </w:pPr>
            <w:r w:rsidRPr="00F06FC9">
              <w:rPr>
                <w:i/>
                <w:sz w:val="18"/>
              </w:rPr>
              <w:t>Ustanovení bylo nahrazeno nařízením č. 967/2012.</w:t>
            </w:r>
          </w:p>
        </w:tc>
        <w:tc>
          <w:tcPr>
            <w:tcW w:w="900" w:type="dxa"/>
            <w:tcBorders>
              <w:top w:val="single" w:sz="4" w:space="0" w:color="auto"/>
              <w:left w:val="single" w:sz="4" w:space="0" w:color="auto"/>
              <w:bottom w:val="nil"/>
              <w:right w:val="single" w:sz="4" w:space="0" w:color="auto"/>
            </w:tcBorders>
          </w:tcPr>
          <w:p w:rsidR="00A25B23" w:rsidRDefault="00A25B23"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A25B23" w:rsidRDefault="00A25B23">
            <w:pPr>
              <w:rPr>
                <w:sz w:val="18"/>
              </w:rPr>
            </w:pPr>
          </w:p>
        </w:tc>
      </w:tr>
      <w:tr w:rsidR="00E61C62">
        <w:tc>
          <w:tcPr>
            <w:tcW w:w="144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r w:rsidRPr="0062116A">
              <w:rPr>
                <w:sz w:val="18"/>
              </w:rPr>
              <w:t>Článek </w:t>
            </w:r>
            <w:r>
              <w:rPr>
                <w:sz w:val="18"/>
              </w:rPr>
              <w:t>59</w:t>
            </w:r>
          </w:p>
        </w:tc>
        <w:tc>
          <w:tcPr>
            <w:tcW w:w="5400" w:type="dxa"/>
            <w:gridSpan w:val="4"/>
            <w:tcBorders>
              <w:top w:val="single" w:sz="4" w:space="0" w:color="auto"/>
              <w:left w:val="single" w:sz="4" w:space="0" w:color="auto"/>
              <w:bottom w:val="nil"/>
              <w:right w:val="single" w:sz="18" w:space="0" w:color="auto"/>
            </w:tcBorders>
          </w:tcPr>
          <w:p w:rsidR="00E61C62" w:rsidRDefault="00E61C62" w:rsidP="00E61C62">
            <w:pPr>
              <w:shd w:val="clear" w:color="auto" w:fill="FFFFFF"/>
              <w:spacing w:before="60"/>
              <w:jc w:val="both"/>
              <w:rPr>
                <w:sz w:val="18"/>
              </w:rPr>
            </w:pPr>
            <w:r>
              <w:rPr>
                <w:color w:val="444444"/>
                <w:sz w:val="18"/>
                <w:szCs w:val="18"/>
              </w:rPr>
              <w:t>Každé zdaňovací období (kalendářní čtvrtletí) ve smyslu článku 364 směrnice 2006/112/ES je samostatným zdaňovacím obdobím.</w:t>
            </w:r>
          </w:p>
        </w:tc>
        <w:tc>
          <w:tcPr>
            <w:tcW w:w="900" w:type="dxa"/>
            <w:tcBorders>
              <w:top w:val="single" w:sz="4" w:space="0" w:color="auto"/>
              <w:left w:val="single" w:sz="18" w:space="0" w:color="auto"/>
              <w:bottom w:val="nil"/>
              <w:right w:val="single" w:sz="4" w:space="0" w:color="auto"/>
            </w:tcBorders>
          </w:tcPr>
          <w:p w:rsidR="00E61C62" w:rsidRDefault="00E61C62" w:rsidP="00C24BA2">
            <w:pPr>
              <w:rPr>
                <w:sz w:val="18"/>
              </w:rPr>
            </w:pPr>
          </w:p>
        </w:tc>
        <w:tc>
          <w:tcPr>
            <w:tcW w:w="1080" w:type="dxa"/>
            <w:tcBorders>
              <w:top w:val="single" w:sz="4" w:space="0" w:color="auto"/>
              <w:left w:val="single" w:sz="4" w:space="0" w:color="auto"/>
              <w:bottom w:val="nil"/>
              <w:right w:val="single" w:sz="4" w:space="0" w:color="auto"/>
            </w:tcBorders>
          </w:tcPr>
          <w:p w:rsidR="00E61C62" w:rsidRDefault="00E61C62" w:rsidP="00C24BA2">
            <w:pPr>
              <w:rPr>
                <w:sz w:val="18"/>
              </w:rPr>
            </w:pPr>
          </w:p>
        </w:tc>
        <w:tc>
          <w:tcPr>
            <w:tcW w:w="5400" w:type="dxa"/>
            <w:gridSpan w:val="4"/>
            <w:tcBorders>
              <w:top w:val="single" w:sz="4" w:space="0" w:color="auto"/>
              <w:left w:val="single" w:sz="4" w:space="0" w:color="auto"/>
              <w:bottom w:val="nil"/>
              <w:right w:val="single" w:sz="4" w:space="0" w:color="auto"/>
            </w:tcBorders>
          </w:tcPr>
          <w:p w:rsidR="00E61C62" w:rsidRDefault="00E61C62" w:rsidP="003B061A">
            <w:pPr>
              <w:jc w:val="both"/>
            </w:pPr>
            <w:r w:rsidRPr="001B19DF">
              <w:rPr>
                <w:i/>
                <w:sz w:val="18"/>
              </w:rPr>
              <w:t>Ustanovení bylo nahrazeno nařízením č. 967/2012.</w:t>
            </w:r>
          </w:p>
        </w:tc>
        <w:tc>
          <w:tcPr>
            <w:tcW w:w="900" w:type="dxa"/>
            <w:tcBorders>
              <w:top w:val="single" w:sz="4" w:space="0" w:color="auto"/>
              <w:left w:val="single" w:sz="4" w:space="0" w:color="auto"/>
              <w:bottom w:val="nil"/>
              <w:right w:val="single" w:sz="4" w:space="0" w:color="auto"/>
            </w:tcBorders>
          </w:tcPr>
          <w:p w:rsidR="00E61C62" w:rsidRDefault="00E61C62"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E61C62" w:rsidRDefault="00E61C62">
            <w:pPr>
              <w:rPr>
                <w:sz w:val="18"/>
              </w:rPr>
            </w:pPr>
          </w:p>
        </w:tc>
      </w:tr>
      <w:tr w:rsidR="00E61C62">
        <w:tc>
          <w:tcPr>
            <w:tcW w:w="144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r w:rsidRPr="0062116A">
              <w:rPr>
                <w:sz w:val="18"/>
              </w:rPr>
              <w:t>Článek </w:t>
            </w:r>
            <w:r>
              <w:rPr>
                <w:sz w:val="18"/>
              </w:rPr>
              <w:t>60</w:t>
            </w:r>
          </w:p>
        </w:tc>
        <w:tc>
          <w:tcPr>
            <w:tcW w:w="5400" w:type="dxa"/>
            <w:gridSpan w:val="4"/>
            <w:tcBorders>
              <w:top w:val="single" w:sz="4" w:space="0" w:color="auto"/>
              <w:left w:val="single" w:sz="4" w:space="0" w:color="auto"/>
              <w:bottom w:val="nil"/>
              <w:right w:val="single" w:sz="18" w:space="0" w:color="auto"/>
            </w:tcBorders>
          </w:tcPr>
          <w:p w:rsidR="00E61C62" w:rsidRDefault="00E61C62" w:rsidP="00E61C62">
            <w:pPr>
              <w:shd w:val="clear" w:color="auto" w:fill="FFFFFF"/>
              <w:spacing w:before="60"/>
              <w:jc w:val="both"/>
              <w:rPr>
                <w:sz w:val="18"/>
              </w:rPr>
            </w:pPr>
            <w:r>
              <w:rPr>
                <w:color w:val="444444"/>
                <w:sz w:val="18"/>
                <w:szCs w:val="18"/>
              </w:rPr>
              <w:t>Jakmile je podáno přiznání k dani podle ustanovení článku 364 směrnice 2006/112/ES, veškeré následné změny číselných údajů v něm obsažených mohou být provedeny pouze formou změny tohoto přiznání k DPH, nikoliv úpravou následného přiznání k DPH.</w:t>
            </w:r>
          </w:p>
        </w:tc>
        <w:tc>
          <w:tcPr>
            <w:tcW w:w="900" w:type="dxa"/>
            <w:tcBorders>
              <w:top w:val="single" w:sz="4" w:space="0" w:color="auto"/>
              <w:left w:val="single" w:sz="18" w:space="0" w:color="auto"/>
              <w:bottom w:val="nil"/>
              <w:right w:val="single" w:sz="4" w:space="0" w:color="auto"/>
            </w:tcBorders>
          </w:tcPr>
          <w:p w:rsidR="00E61C62" w:rsidRDefault="00E61C62" w:rsidP="00C24BA2">
            <w:pPr>
              <w:rPr>
                <w:sz w:val="18"/>
              </w:rPr>
            </w:pPr>
          </w:p>
        </w:tc>
        <w:tc>
          <w:tcPr>
            <w:tcW w:w="1080" w:type="dxa"/>
            <w:tcBorders>
              <w:top w:val="single" w:sz="4" w:space="0" w:color="auto"/>
              <w:left w:val="single" w:sz="4" w:space="0" w:color="auto"/>
              <w:bottom w:val="nil"/>
              <w:right w:val="single" w:sz="4" w:space="0" w:color="auto"/>
            </w:tcBorders>
          </w:tcPr>
          <w:p w:rsidR="00E61C62" w:rsidRDefault="00E61C62" w:rsidP="00C24BA2">
            <w:pPr>
              <w:rPr>
                <w:sz w:val="18"/>
              </w:rPr>
            </w:pPr>
          </w:p>
        </w:tc>
        <w:tc>
          <w:tcPr>
            <w:tcW w:w="5400" w:type="dxa"/>
            <w:gridSpan w:val="4"/>
            <w:tcBorders>
              <w:top w:val="single" w:sz="4" w:space="0" w:color="auto"/>
              <w:left w:val="single" w:sz="4" w:space="0" w:color="auto"/>
              <w:bottom w:val="nil"/>
              <w:right w:val="single" w:sz="4" w:space="0" w:color="auto"/>
            </w:tcBorders>
          </w:tcPr>
          <w:p w:rsidR="00E61C62" w:rsidRDefault="00E61C62" w:rsidP="003B061A">
            <w:pPr>
              <w:jc w:val="both"/>
            </w:pPr>
            <w:r w:rsidRPr="001B19DF">
              <w:rPr>
                <w:i/>
                <w:sz w:val="18"/>
              </w:rPr>
              <w:t>Ustanovení bylo nahrazeno nařízením č. 967/2012.</w:t>
            </w:r>
          </w:p>
        </w:tc>
        <w:tc>
          <w:tcPr>
            <w:tcW w:w="900" w:type="dxa"/>
            <w:tcBorders>
              <w:top w:val="single" w:sz="4" w:space="0" w:color="auto"/>
              <w:left w:val="single" w:sz="4" w:space="0" w:color="auto"/>
              <w:bottom w:val="nil"/>
              <w:right w:val="single" w:sz="4" w:space="0" w:color="auto"/>
            </w:tcBorders>
          </w:tcPr>
          <w:p w:rsidR="00E61C62" w:rsidRDefault="00E61C62"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E61C62" w:rsidRDefault="00E61C62">
            <w:pPr>
              <w:rPr>
                <w:sz w:val="18"/>
              </w:rPr>
            </w:pPr>
          </w:p>
        </w:tc>
      </w:tr>
      <w:tr w:rsidR="00E61C62">
        <w:tc>
          <w:tcPr>
            <w:tcW w:w="144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r w:rsidRPr="0062116A">
              <w:rPr>
                <w:sz w:val="18"/>
              </w:rPr>
              <w:t>Článek </w:t>
            </w:r>
            <w:r>
              <w:rPr>
                <w:sz w:val="18"/>
              </w:rPr>
              <w:t>61</w:t>
            </w:r>
          </w:p>
        </w:tc>
        <w:tc>
          <w:tcPr>
            <w:tcW w:w="5400" w:type="dxa"/>
            <w:gridSpan w:val="4"/>
            <w:tcBorders>
              <w:top w:val="single" w:sz="4" w:space="0" w:color="auto"/>
              <w:left w:val="single" w:sz="4" w:space="0" w:color="auto"/>
              <w:bottom w:val="nil"/>
              <w:right w:val="single" w:sz="18" w:space="0" w:color="auto"/>
            </w:tcBorders>
          </w:tcPr>
          <w:p w:rsidR="00E61C62" w:rsidRPr="00E61C62" w:rsidRDefault="00E61C62" w:rsidP="00E61C62">
            <w:pPr>
              <w:shd w:val="clear" w:color="auto" w:fill="FFFFFF"/>
              <w:spacing w:before="60"/>
              <w:jc w:val="both"/>
              <w:rPr>
                <w:color w:val="444444"/>
                <w:sz w:val="18"/>
                <w:szCs w:val="18"/>
              </w:rPr>
            </w:pPr>
            <w:r>
              <w:rPr>
                <w:color w:val="444444"/>
                <w:sz w:val="18"/>
                <w:szCs w:val="18"/>
              </w:rPr>
              <w:t>Částky uvedené na přiznáních k DPH podle zvláštního režimu pro elektronicky poskytované služby stanoveného v článcích 357 až 369 směrnice 2006/112/ES se nezaokrouhlují ani nahoru ani dolů na nejbližší celou peněžní jednotku. Přesná částka DPH musí být přiznána a uhrazena.</w:t>
            </w:r>
          </w:p>
        </w:tc>
        <w:tc>
          <w:tcPr>
            <w:tcW w:w="900" w:type="dxa"/>
            <w:tcBorders>
              <w:top w:val="single" w:sz="4" w:space="0" w:color="auto"/>
              <w:left w:val="single" w:sz="18" w:space="0" w:color="auto"/>
              <w:bottom w:val="nil"/>
              <w:right w:val="single" w:sz="4" w:space="0" w:color="auto"/>
            </w:tcBorders>
          </w:tcPr>
          <w:p w:rsidR="00E61C62" w:rsidRDefault="00E61C62" w:rsidP="00C24BA2">
            <w:pPr>
              <w:rPr>
                <w:sz w:val="18"/>
              </w:rPr>
            </w:pPr>
          </w:p>
        </w:tc>
        <w:tc>
          <w:tcPr>
            <w:tcW w:w="1080" w:type="dxa"/>
            <w:tcBorders>
              <w:top w:val="single" w:sz="4" w:space="0" w:color="auto"/>
              <w:left w:val="single" w:sz="4" w:space="0" w:color="auto"/>
              <w:bottom w:val="nil"/>
              <w:right w:val="single" w:sz="4" w:space="0" w:color="auto"/>
            </w:tcBorders>
          </w:tcPr>
          <w:p w:rsidR="00E61C62" w:rsidRDefault="00E61C62" w:rsidP="00C24BA2">
            <w:pPr>
              <w:rPr>
                <w:sz w:val="18"/>
              </w:rPr>
            </w:pPr>
          </w:p>
        </w:tc>
        <w:tc>
          <w:tcPr>
            <w:tcW w:w="5400" w:type="dxa"/>
            <w:gridSpan w:val="4"/>
            <w:tcBorders>
              <w:top w:val="single" w:sz="4" w:space="0" w:color="auto"/>
              <w:left w:val="single" w:sz="4" w:space="0" w:color="auto"/>
              <w:bottom w:val="nil"/>
              <w:right w:val="single" w:sz="4" w:space="0" w:color="auto"/>
            </w:tcBorders>
          </w:tcPr>
          <w:p w:rsidR="00E61C62" w:rsidRDefault="00E61C62" w:rsidP="003B061A">
            <w:pPr>
              <w:jc w:val="both"/>
            </w:pPr>
            <w:r w:rsidRPr="001B19DF">
              <w:rPr>
                <w:i/>
                <w:sz w:val="18"/>
              </w:rPr>
              <w:t>Ustanovení bylo nahrazeno nařízením č. 967/2012.</w:t>
            </w:r>
          </w:p>
        </w:tc>
        <w:tc>
          <w:tcPr>
            <w:tcW w:w="900" w:type="dxa"/>
            <w:tcBorders>
              <w:top w:val="single" w:sz="4" w:space="0" w:color="auto"/>
              <w:left w:val="single" w:sz="4" w:space="0" w:color="auto"/>
              <w:bottom w:val="nil"/>
              <w:right w:val="single" w:sz="4" w:space="0" w:color="auto"/>
            </w:tcBorders>
          </w:tcPr>
          <w:p w:rsidR="00E61C62" w:rsidRDefault="00E61C62"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p>
        </w:tc>
      </w:tr>
      <w:tr w:rsidR="00E61C62">
        <w:tc>
          <w:tcPr>
            <w:tcW w:w="144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r w:rsidRPr="0062116A">
              <w:rPr>
                <w:sz w:val="18"/>
              </w:rPr>
              <w:t>Článek </w:t>
            </w:r>
            <w:r>
              <w:rPr>
                <w:sz w:val="18"/>
              </w:rPr>
              <w:t>62</w:t>
            </w:r>
          </w:p>
        </w:tc>
        <w:tc>
          <w:tcPr>
            <w:tcW w:w="5400" w:type="dxa"/>
            <w:gridSpan w:val="4"/>
            <w:tcBorders>
              <w:top w:val="single" w:sz="4" w:space="0" w:color="auto"/>
              <w:left w:val="single" w:sz="4" w:space="0" w:color="auto"/>
              <w:bottom w:val="nil"/>
              <w:right w:val="single" w:sz="18" w:space="0" w:color="auto"/>
            </w:tcBorders>
          </w:tcPr>
          <w:p w:rsidR="00E61C62" w:rsidRDefault="00E61C62" w:rsidP="00E61C62">
            <w:pPr>
              <w:shd w:val="clear" w:color="auto" w:fill="FFFFFF"/>
              <w:spacing w:before="60"/>
              <w:jc w:val="both"/>
              <w:rPr>
                <w:color w:val="444444"/>
                <w:sz w:val="18"/>
                <w:szCs w:val="18"/>
              </w:rPr>
            </w:pPr>
            <w:r>
              <w:rPr>
                <w:color w:val="444444"/>
                <w:sz w:val="18"/>
                <w:szCs w:val="18"/>
              </w:rPr>
              <w:t>Členský stát identifikace, který přijme částku vyšší, než je částka vyplývající z přiznání k DPH předloženého pro elektronicky poskytované služby podle článku 364 směrnice 2006/112/ES, vrátí přeplatek přímo dotyčné osobě povinné k dani.</w:t>
            </w:r>
          </w:p>
          <w:p w:rsidR="00E61C62" w:rsidRPr="00E61C62" w:rsidRDefault="00E61C62" w:rsidP="00E61C62">
            <w:pPr>
              <w:shd w:val="clear" w:color="auto" w:fill="FFFFFF"/>
              <w:spacing w:before="60"/>
              <w:jc w:val="both"/>
              <w:rPr>
                <w:color w:val="444444"/>
                <w:sz w:val="18"/>
                <w:szCs w:val="18"/>
              </w:rPr>
            </w:pPr>
            <w:r>
              <w:rPr>
                <w:color w:val="444444"/>
                <w:sz w:val="18"/>
                <w:szCs w:val="18"/>
              </w:rPr>
              <w:t>Přijal-li členský stát identifikace částku na základě přiznání k DPH, o němž se následně zjistí, že je nesprávné, a rozdělil-li již uvedený členský stát tuto částku mezi členské státy spotřeby, tyto členské státy vrátí přeplatek přímo neusazené osobě povinné k dani a informují členský stát identifikace o úpravě, kterou je třeba provést.</w:t>
            </w:r>
          </w:p>
        </w:tc>
        <w:tc>
          <w:tcPr>
            <w:tcW w:w="900" w:type="dxa"/>
            <w:tcBorders>
              <w:top w:val="single" w:sz="4" w:space="0" w:color="auto"/>
              <w:left w:val="single" w:sz="18" w:space="0" w:color="auto"/>
              <w:bottom w:val="nil"/>
              <w:right w:val="single" w:sz="4" w:space="0" w:color="auto"/>
            </w:tcBorders>
          </w:tcPr>
          <w:p w:rsidR="00E61C62" w:rsidRDefault="00E61C62" w:rsidP="00C24BA2">
            <w:pPr>
              <w:rPr>
                <w:sz w:val="18"/>
              </w:rPr>
            </w:pPr>
          </w:p>
        </w:tc>
        <w:tc>
          <w:tcPr>
            <w:tcW w:w="1080" w:type="dxa"/>
            <w:tcBorders>
              <w:top w:val="single" w:sz="4" w:space="0" w:color="auto"/>
              <w:left w:val="single" w:sz="4" w:space="0" w:color="auto"/>
              <w:bottom w:val="nil"/>
              <w:right w:val="single" w:sz="4" w:space="0" w:color="auto"/>
            </w:tcBorders>
          </w:tcPr>
          <w:p w:rsidR="00E61C62" w:rsidRDefault="00E61C62" w:rsidP="00C24BA2">
            <w:pPr>
              <w:rPr>
                <w:sz w:val="18"/>
              </w:rPr>
            </w:pPr>
          </w:p>
        </w:tc>
        <w:tc>
          <w:tcPr>
            <w:tcW w:w="5400" w:type="dxa"/>
            <w:gridSpan w:val="4"/>
            <w:tcBorders>
              <w:top w:val="single" w:sz="4" w:space="0" w:color="auto"/>
              <w:left w:val="single" w:sz="4" w:space="0" w:color="auto"/>
              <w:bottom w:val="nil"/>
              <w:right w:val="single" w:sz="4" w:space="0" w:color="auto"/>
            </w:tcBorders>
          </w:tcPr>
          <w:p w:rsidR="00E61C62" w:rsidRDefault="00E61C62" w:rsidP="003B061A">
            <w:pPr>
              <w:jc w:val="both"/>
            </w:pPr>
            <w:r w:rsidRPr="001B19DF">
              <w:rPr>
                <w:i/>
                <w:sz w:val="18"/>
              </w:rPr>
              <w:t>Ustanovení bylo nahrazeno nařízením č. 967/2012.</w:t>
            </w:r>
          </w:p>
        </w:tc>
        <w:tc>
          <w:tcPr>
            <w:tcW w:w="900" w:type="dxa"/>
            <w:tcBorders>
              <w:top w:val="single" w:sz="4" w:space="0" w:color="auto"/>
              <w:left w:val="single" w:sz="4" w:space="0" w:color="auto"/>
              <w:bottom w:val="nil"/>
              <w:right w:val="single" w:sz="4" w:space="0" w:color="auto"/>
            </w:tcBorders>
          </w:tcPr>
          <w:p w:rsidR="00E61C62" w:rsidRDefault="00E61C62"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p>
        </w:tc>
      </w:tr>
      <w:tr w:rsidR="00E61C62">
        <w:tc>
          <w:tcPr>
            <w:tcW w:w="144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r w:rsidRPr="0062116A">
              <w:rPr>
                <w:sz w:val="18"/>
              </w:rPr>
              <w:t>Článek </w:t>
            </w:r>
            <w:r>
              <w:rPr>
                <w:sz w:val="18"/>
              </w:rPr>
              <w:t>63</w:t>
            </w:r>
          </w:p>
        </w:tc>
        <w:tc>
          <w:tcPr>
            <w:tcW w:w="5400" w:type="dxa"/>
            <w:gridSpan w:val="4"/>
            <w:tcBorders>
              <w:top w:val="single" w:sz="4" w:space="0" w:color="auto"/>
              <w:left w:val="single" w:sz="4" w:space="0" w:color="auto"/>
              <w:bottom w:val="nil"/>
              <w:right w:val="single" w:sz="18" w:space="0" w:color="auto"/>
            </w:tcBorders>
          </w:tcPr>
          <w:p w:rsidR="00E61C62" w:rsidRPr="00E61C62" w:rsidRDefault="00E61C62" w:rsidP="00E61C62">
            <w:pPr>
              <w:shd w:val="clear" w:color="auto" w:fill="FFFFFF"/>
              <w:spacing w:before="60"/>
              <w:jc w:val="both"/>
              <w:rPr>
                <w:color w:val="444444"/>
                <w:sz w:val="18"/>
                <w:szCs w:val="18"/>
              </w:rPr>
            </w:pPr>
            <w:r>
              <w:rPr>
                <w:color w:val="444444"/>
                <w:sz w:val="18"/>
                <w:szCs w:val="18"/>
              </w:rPr>
              <w:t>Částky DPH hrazené podle článku 367 směrnice 2006/112/ES jsou částkami, které odpovídají přiznání k DPH podanému podle článku 364 uvedené směrnice. Případné pozdější změny hrazených částek mohou být provedeny pouze odkazem na uvedené přiznání k dani a nesmí být vyjádřeny v jiném přiznání k dani ani upraveny v následném přiznání k dani.</w:t>
            </w:r>
          </w:p>
        </w:tc>
        <w:tc>
          <w:tcPr>
            <w:tcW w:w="900" w:type="dxa"/>
            <w:tcBorders>
              <w:top w:val="single" w:sz="4" w:space="0" w:color="auto"/>
              <w:left w:val="single" w:sz="18" w:space="0" w:color="auto"/>
              <w:bottom w:val="nil"/>
              <w:right w:val="single" w:sz="4" w:space="0" w:color="auto"/>
            </w:tcBorders>
          </w:tcPr>
          <w:p w:rsidR="00E61C62" w:rsidRDefault="00E61C62" w:rsidP="00C24BA2">
            <w:pPr>
              <w:rPr>
                <w:sz w:val="18"/>
              </w:rPr>
            </w:pPr>
          </w:p>
        </w:tc>
        <w:tc>
          <w:tcPr>
            <w:tcW w:w="1080" w:type="dxa"/>
            <w:tcBorders>
              <w:top w:val="single" w:sz="4" w:space="0" w:color="auto"/>
              <w:left w:val="single" w:sz="4" w:space="0" w:color="auto"/>
              <w:bottom w:val="nil"/>
              <w:right w:val="single" w:sz="4" w:space="0" w:color="auto"/>
            </w:tcBorders>
          </w:tcPr>
          <w:p w:rsidR="00E61C62" w:rsidRDefault="00E61C62" w:rsidP="00C24BA2">
            <w:pPr>
              <w:rPr>
                <w:sz w:val="18"/>
              </w:rPr>
            </w:pPr>
          </w:p>
        </w:tc>
        <w:tc>
          <w:tcPr>
            <w:tcW w:w="5400" w:type="dxa"/>
            <w:gridSpan w:val="4"/>
            <w:tcBorders>
              <w:top w:val="single" w:sz="4" w:space="0" w:color="auto"/>
              <w:left w:val="single" w:sz="4" w:space="0" w:color="auto"/>
              <w:bottom w:val="nil"/>
              <w:right w:val="single" w:sz="4" w:space="0" w:color="auto"/>
            </w:tcBorders>
          </w:tcPr>
          <w:p w:rsidR="00E61C62" w:rsidRDefault="00E61C62" w:rsidP="003B061A">
            <w:pPr>
              <w:jc w:val="both"/>
            </w:pPr>
            <w:r w:rsidRPr="001B19DF">
              <w:rPr>
                <w:i/>
                <w:sz w:val="18"/>
              </w:rPr>
              <w:t>Ustanovení bylo nahrazeno nařízením č. 967/2012.</w:t>
            </w:r>
          </w:p>
        </w:tc>
        <w:tc>
          <w:tcPr>
            <w:tcW w:w="900" w:type="dxa"/>
            <w:tcBorders>
              <w:top w:val="single" w:sz="4" w:space="0" w:color="auto"/>
              <w:left w:val="single" w:sz="4" w:space="0" w:color="auto"/>
              <w:bottom w:val="nil"/>
              <w:right w:val="single" w:sz="4" w:space="0" w:color="auto"/>
            </w:tcBorders>
          </w:tcPr>
          <w:p w:rsidR="00E61C62" w:rsidRDefault="00E61C62"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E61C62" w:rsidRPr="00517721" w:rsidRDefault="00E61C62" w:rsidP="00C24BA2">
            <w:pPr>
              <w:spacing w:before="60"/>
              <w:rPr>
                <w:sz w:val="18"/>
              </w:rPr>
            </w:pPr>
          </w:p>
        </w:tc>
      </w:tr>
      <w:tr w:rsidR="00843BC7">
        <w:tc>
          <w:tcPr>
            <w:tcW w:w="1440" w:type="dxa"/>
            <w:tcBorders>
              <w:top w:val="single" w:sz="4" w:space="0" w:color="auto"/>
              <w:left w:val="single" w:sz="4" w:space="0" w:color="auto"/>
              <w:bottom w:val="nil"/>
              <w:right w:val="single" w:sz="4" w:space="0" w:color="auto"/>
            </w:tcBorders>
          </w:tcPr>
          <w:p w:rsidR="00843BC7" w:rsidRPr="00517721" w:rsidRDefault="00843BC7" w:rsidP="00C24BA2">
            <w:pPr>
              <w:spacing w:before="60"/>
              <w:rPr>
                <w:sz w:val="18"/>
              </w:rPr>
            </w:pPr>
            <w:r w:rsidRPr="0062116A">
              <w:rPr>
                <w:sz w:val="18"/>
              </w:rPr>
              <w:t>Článek </w:t>
            </w:r>
            <w:r>
              <w:rPr>
                <w:sz w:val="18"/>
              </w:rPr>
              <w:t>6</w:t>
            </w:r>
            <w:r w:rsidR="00E61C62">
              <w:rPr>
                <w:sz w:val="18"/>
              </w:rPr>
              <w:t>4</w:t>
            </w:r>
          </w:p>
        </w:tc>
        <w:tc>
          <w:tcPr>
            <w:tcW w:w="5400" w:type="dxa"/>
            <w:gridSpan w:val="4"/>
            <w:tcBorders>
              <w:top w:val="single" w:sz="4" w:space="0" w:color="auto"/>
              <w:left w:val="single" w:sz="4" w:space="0" w:color="auto"/>
              <w:bottom w:val="nil"/>
              <w:right w:val="single" w:sz="18" w:space="0" w:color="auto"/>
            </w:tcBorders>
          </w:tcPr>
          <w:p w:rsidR="00E61C62" w:rsidRDefault="00E61C62" w:rsidP="00E61C62">
            <w:pPr>
              <w:shd w:val="clear" w:color="auto" w:fill="FFFFFF"/>
              <w:spacing w:before="60"/>
              <w:jc w:val="both"/>
              <w:rPr>
                <w:color w:val="444444"/>
                <w:sz w:val="18"/>
                <w:szCs w:val="18"/>
              </w:rPr>
            </w:pPr>
            <w:r>
              <w:rPr>
                <w:color w:val="444444"/>
                <w:sz w:val="18"/>
                <w:szCs w:val="18"/>
              </w:rPr>
              <w:t>Nařízení (ES) č. 1777/2005 se zrušuje.</w:t>
            </w:r>
          </w:p>
          <w:p w:rsidR="00843BC7" w:rsidRPr="00E61C62" w:rsidRDefault="00E61C62" w:rsidP="00E61C62">
            <w:pPr>
              <w:shd w:val="clear" w:color="auto" w:fill="FFFFFF"/>
              <w:spacing w:before="60"/>
              <w:jc w:val="both"/>
              <w:rPr>
                <w:color w:val="444444"/>
                <w:sz w:val="18"/>
                <w:szCs w:val="18"/>
              </w:rPr>
            </w:pPr>
            <w:r>
              <w:rPr>
                <w:color w:val="444444"/>
                <w:sz w:val="18"/>
                <w:szCs w:val="18"/>
              </w:rPr>
              <w:t>Odkazy na zrušené nařízení se považují za odkazy na toto nařízení v souladu se srovnávací tabulkou obsaženou v příloze IV.</w:t>
            </w:r>
          </w:p>
        </w:tc>
        <w:tc>
          <w:tcPr>
            <w:tcW w:w="900" w:type="dxa"/>
            <w:tcBorders>
              <w:top w:val="single" w:sz="4" w:space="0" w:color="auto"/>
              <w:left w:val="single" w:sz="18" w:space="0" w:color="auto"/>
              <w:bottom w:val="nil"/>
              <w:right w:val="single" w:sz="4" w:space="0" w:color="auto"/>
            </w:tcBorders>
          </w:tcPr>
          <w:p w:rsidR="00843BC7" w:rsidRDefault="00843BC7" w:rsidP="00C24BA2">
            <w:pPr>
              <w:rPr>
                <w:sz w:val="18"/>
              </w:rPr>
            </w:pPr>
          </w:p>
        </w:tc>
        <w:tc>
          <w:tcPr>
            <w:tcW w:w="1080" w:type="dxa"/>
            <w:tcBorders>
              <w:top w:val="single" w:sz="4" w:space="0" w:color="auto"/>
              <w:left w:val="single" w:sz="4" w:space="0" w:color="auto"/>
              <w:bottom w:val="nil"/>
              <w:right w:val="single" w:sz="4" w:space="0" w:color="auto"/>
            </w:tcBorders>
          </w:tcPr>
          <w:p w:rsidR="00843BC7" w:rsidRDefault="00843BC7" w:rsidP="00C24BA2">
            <w:pPr>
              <w:rPr>
                <w:sz w:val="18"/>
              </w:rPr>
            </w:pPr>
          </w:p>
        </w:tc>
        <w:tc>
          <w:tcPr>
            <w:tcW w:w="5400" w:type="dxa"/>
            <w:gridSpan w:val="4"/>
            <w:tcBorders>
              <w:top w:val="single" w:sz="4" w:space="0" w:color="auto"/>
              <w:left w:val="single" w:sz="4" w:space="0" w:color="auto"/>
              <w:bottom w:val="nil"/>
              <w:right w:val="single" w:sz="4" w:space="0" w:color="auto"/>
            </w:tcBorders>
          </w:tcPr>
          <w:p w:rsidR="00843BC7" w:rsidRPr="00E61C62" w:rsidRDefault="00E61C62" w:rsidP="003B061A">
            <w:pPr>
              <w:jc w:val="both"/>
              <w:rPr>
                <w:i/>
                <w:sz w:val="18"/>
              </w:rPr>
            </w:pPr>
            <w:r w:rsidRPr="00E61C62">
              <w:rPr>
                <w:i/>
                <w:sz w:val="18"/>
              </w:rPr>
              <w:t>Nerelevantní z hlediska adaptace. Ustanovení má pouze deklaratorní charakter.</w:t>
            </w:r>
          </w:p>
        </w:tc>
        <w:tc>
          <w:tcPr>
            <w:tcW w:w="900" w:type="dxa"/>
            <w:tcBorders>
              <w:top w:val="single" w:sz="4" w:space="0" w:color="auto"/>
              <w:left w:val="single" w:sz="4" w:space="0" w:color="auto"/>
              <w:bottom w:val="nil"/>
              <w:right w:val="single" w:sz="4" w:space="0" w:color="auto"/>
            </w:tcBorders>
          </w:tcPr>
          <w:p w:rsidR="00843BC7" w:rsidRDefault="00843BC7"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843BC7" w:rsidRPr="00517721" w:rsidRDefault="00843BC7" w:rsidP="00C24BA2">
            <w:pPr>
              <w:spacing w:before="60"/>
              <w:rPr>
                <w:sz w:val="18"/>
              </w:rPr>
            </w:pPr>
          </w:p>
        </w:tc>
      </w:tr>
      <w:tr w:rsidR="00843BC7">
        <w:tc>
          <w:tcPr>
            <w:tcW w:w="1440" w:type="dxa"/>
            <w:tcBorders>
              <w:top w:val="single" w:sz="4" w:space="0" w:color="auto"/>
              <w:left w:val="single" w:sz="4" w:space="0" w:color="auto"/>
              <w:bottom w:val="nil"/>
              <w:right w:val="single" w:sz="4" w:space="0" w:color="auto"/>
            </w:tcBorders>
          </w:tcPr>
          <w:p w:rsidR="00843BC7" w:rsidRPr="00517721" w:rsidRDefault="00843BC7" w:rsidP="00C24BA2">
            <w:pPr>
              <w:spacing w:before="60"/>
              <w:rPr>
                <w:sz w:val="18"/>
              </w:rPr>
            </w:pPr>
            <w:r w:rsidRPr="0062116A">
              <w:rPr>
                <w:sz w:val="18"/>
              </w:rPr>
              <w:t>Článek </w:t>
            </w:r>
            <w:r>
              <w:rPr>
                <w:sz w:val="18"/>
              </w:rPr>
              <w:t>6</w:t>
            </w:r>
            <w:r w:rsidR="00E61C62">
              <w:rPr>
                <w:sz w:val="18"/>
              </w:rPr>
              <w:t>5</w:t>
            </w:r>
          </w:p>
        </w:tc>
        <w:tc>
          <w:tcPr>
            <w:tcW w:w="5400" w:type="dxa"/>
            <w:gridSpan w:val="4"/>
            <w:tcBorders>
              <w:top w:val="single" w:sz="4" w:space="0" w:color="auto"/>
              <w:left w:val="single" w:sz="4" w:space="0" w:color="auto"/>
              <w:bottom w:val="nil"/>
              <w:right w:val="single" w:sz="18" w:space="0" w:color="auto"/>
            </w:tcBorders>
          </w:tcPr>
          <w:p w:rsidR="00E61C62" w:rsidRDefault="00E61C62" w:rsidP="00E61C62">
            <w:pPr>
              <w:shd w:val="clear" w:color="auto" w:fill="FFFFFF"/>
              <w:spacing w:before="60"/>
              <w:jc w:val="both"/>
              <w:rPr>
                <w:color w:val="444444"/>
                <w:sz w:val="18"/>
                <w:szCs w:val="18"/>
              </w:rPr>
            </w:pPr>
            <w:r>
              <w:rPr>
                <w:color w:val="444444"/>
                <w:sz w:val="18"/>
                <w:szCs w:val="18"/>
              </w:rPr>
              <w:t xml:space="preserve">Toto nařízení vstupuje v platnost dvacátým dnem po vyhlášení v </w:t>
            </w:r>
            <w:r>
              <w:rPr>
                <w:iCs/>
                <w:color w:val="444444"/>
                <w:sz w:val="18"/>
                <w:szCs w:val="18"/>
              </w:rPr>
              <w:t>Úředním věstníku Evropské unie</w:t>
            </w:r>
            <w:r>
              <w:rPr>
                <w:color w:val="444444"/>
                <w:sz w:val="18"/>
                <w:szCs w:val="18"/>
              </w:rPr>
              <w:t>.</w:t>
            </w:r>
          </w:p>
          <w:p w:rsidR="00E61C62" w:rsidRDefault="00E61C62" w:rsidP="00E61C62">
            <w:pPr>
              <w:shd w:val="clear" w:color="auto" w:fill="FFFFFF"/>
              <w:spacing w:before="60"/>
              <w:jc w:val="both"/>
              <w:rPr>
                <w:color w:val="444444"/>
                <w:sz w:val="18"/>
                <w:szCs w:val="18"/>
              </w:rPr>
            </w:pPr>
            <w:r>
              <w:rPr>
                <w:color w:val="444444"/>
                <w:sz w:val="18"/>
                <w:szCs w:val="18"/>
              </w:rPr>
              <w:t>Použije se ode dne 1. července 2011.</w:t>
            </w:r>
          </w:p>
          <w:p w:rsidR="00E61C62" w:rsidRDefault="00E61C62" w:rsidP="00E61C62">
            <w:pPr>
              <w:shd w:val="clear" w:color="auto" w:fill="FFFFFF"/>
              <w:spacing w:before="60"/>
              <w:contextualSpacing/>
              <w:jc w:val="both"/>
              <w:rPr>
                <w:color w:val="444444"/>
                <w:sz w:val="18"/>
                <w:szCs w:val="18"/>
              </w:rPr>
            </w:pPr>
            <w:r>
              <w:rPr>
                <w:color w:val="444444"/>
                <w:sz w:val="18"/>
                <w:szCs w:val="18"/>
              </w:rPr>
              <w:t>Nicméně:</w:t>
            </w:r>
          </w:p>
          <w:p w:rsidR="00E61C62" w:rsidRDefault="00E61C62" w:rsidP="00E61C62">
            <w:pPr>
              <w:spacing w:before="60"/>
              <w:contextualSpacing/>
              <w:jc w:val="both"/>
              <w:rPr>
                <w:color w:val="444444"/>
                <w:sz w:val="18"/>
                <w:szCs w:val="18"/>
              </w:rPr>
            </w:pPr>
            <w:r>
              <w:rPr>
                <w:color w:val="444444"/>
                <w:sz w:val="18"/>
                <w:szCs w:val="18"/>
              </w:rPr>
              <w:t>— ustanovení čl. 3 písm. a), čl. 11 odst. 2 písm. b), čl. 23 odst. 1 a čl. 24 odst. 1 se použijí ode dne 1. ledna 2013,</w:t>
            </w:r>
          </w:p>
          <w:p w:rsidR="00E61C62" w:rsidRDefault="00E61C62" w:rsidP="00E61C62">
            <w:pPr>
              <w:spacing w:before="60"/>
              <w:contextualSpacing/>
              <w:jc w:val="both"/>
              <w:rPr>
                <w:color w:val="444444"/>
                <w:sz w:val="18"/>
                <w:szCs w:val="18"/>
              </w:rPr>
            </w:pPr>
            <w:r>
              <w:rPr>
                <w:color w:val="444444"/>
                <w:sz w:val="18"/>
                <w:szCs w:val="18"/>
              </w:rPr>
              <w:t>— ustanovení čl. 3 písm. b) se použije ode dne 1. ledna 2015,</w:t>
            </w:r>
          </w:p>
          <w:p w:rsidR="00E61C62" w:rsidRDefault="00E61C62" w:rsidP="00E61C62">
            <w:pPr>
              <w:spacing w:before="60"/>
              <w:contextualSpacing/>
              <w:jc w:val="both"/>
              <w:rPr>
                <w:color w:val="444444"/>
                <w:sz w:val="18"/>
                <w:szCs w:val="18"/>
              </w:rPr>
            </w:pPr>
            <w:r>
              <w:rPr>
                <w:color w:val="444444"/>
                <w:sz w:val="18"/>
                <w:szCs w:val="18"/>
              </w:rPr>
              <w:t>— ustanovení čl. 11 odst. 2 písm. c) se použije do 31. prosince 2014.</w:t>
            </w:r>
          </w:p>
          <w:p w:rsidR="00843BC7" w:rsidRPr="00E61C62" w:rsidRDefault="00E61C62" w:rsidP="00E61C62">
            <w:pPr>
              <w:shd w:val="clear" w:color="auto" w:fill="FFFFFF"/>
              <w:spacing w:before="60"/>
              <w:jc w:val="both"/>
              <w:rPr>
                <w:color w:val="444444"/>
                <w:sz w:val="18"/>
                <w:szCs w:val="18"/>
              </w:rPr>
            </w:pPr>
            <w:r>
              <w:rPr>
                <w:color w:val="444444"/>
                <w:sz w:val="18"/>
                <w:szCs w:val="18"/>
              </w:rPr>
              <w:t>Toto nařízení je závazné v celém rozsahu a přímo použitelné ve všech členských státech.</w:t>
            </w:r>
          </w:p>
        </w:tc>
        <w:tc>
          <w:tcPr>
            <w:tcW w:w="900" w:type="dxa"/>
            <w:tcBorders>
              <w:top w:val="single" w:sz="4" w:space="0" w:color="auto"/>
              <w:left w:val="single" w:sz="18" w:space="0" w:color="auto"/>
              <w:bottom w:val="nil"/>
              <w:right w:val="single" w:sz="4" w:space="0" w:color="auto"/>
            </w:tcBorders>
          </w:tcPr>
          <w:p w:rsidR="00843BC7" w:rsidRDefault="00843BC7" w:rsidP="00C24BA2">
            <w:pPr>
              <w:rPr>
                <w:sz w:val="18"/>
              </w:rPr>
            </w:pPr>
          </w:p>
        </w:tc>
        <w:tc>
          <w:tcPr>
            <w:tcW w:w="1080" w:type="dxa"/>
            <w:tcBorders>
              <w:top w:val="single" w:sz="4" w:space="0" w:color="auto"/>
              <w:left w:val="single" w:sz="4" w:space="0" w:color="auto"/>
              <w:bottom w:val="nil"/>
              <w:right w:val="single" w:sz="4" w:space="0" w:color="auto"/>
            </w:tcBorders>
          </w:tcPr>
          <w:p w:rsidR="00843BC7" w:rsidRDefault="00843BC7" w:rsidP="00C24BA2">
            <w:pPr>
              <w:rPr>
                <w:sz w:val="18"/>
              </w:rPr>
            </w:pPr>
          </w:p>
        </w:tc>
        <w:tc>
          <w:tcPr>
            <w:tcW w:w="5400" w:type="dxa"/>
            <w:gridSpan w:val="4"/>
            <w:tcBorders>
              <w:top w:val="single" w:sz="4" w:space="0" w:color="auto"/>
              <w:left w:val="single" w:sz="4" w:space="0" w:color="auto"/>
              <w:bottom w:val="nil"/>
              <w:right w:val="single" w:sz="4" w:space="0" w:color="auto"/>
            </w:tcBorders>
          </w:tcPr>
          <w:p w:rsidR="00843BC7" w:rsidRDefault="00E61C62" w:rsidP="003B061A">
            <w:pPr>
              <w:jc w:val="both"/>
              <w:rPr>
                <w:sz w:val="18"/>
              </w:rPr>
            </w:pPr>
            <w:r w:rsidRPr="00E61C62">
              <w:rPr>
                <w:i/>
                <w:sz w:val="18"/>
              </w:rPr>
              <w:t>Nerelevantní z hlediska adaptace. Ustanovení má pouze deklaratorní charakter.</w:t>
            </w:r>
            <w:r>
              <w:rPr>
                <w:i/>
                <w:sz w:val="18"/>
              </w:rPr>
              <w:t xml:space="preserve"> </w:t>
            </w:r>
          </w:p>
        </w:tc>
        <w:tc>
          <w:tcPr>
            <w:tcW w:w="900" w:type="dxa"/>
            <w:tcBorders>
              <w:top w:val="single" w:sz="4" w:space="0" w:color="auto"/>
              <w:left w:val="single" w:sz="4" w:space="0" w:color="auto"/>
              <w:bottom w:val="nil"/>
              <w:right w:val="single" w:sz="4" w:space="0" w:color="auto"/>
            </w:tcBorders>
          </w:tcPr>
          <w:p w:rsidR="00843BC7" w:rsidRDefault="00843BC7"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843BC7" w:rsidRPr="00517721" w:rsidRDefault="00843BC7" w:rsidP="00C24BA2">
            <w:pPr>
              <w:spacing w:before="60"/>
              <w:rPr>
                <w:sz w:val="18"/>
              </w:rPr>
            </w:pPr>
          </w:p>
        </w:tc>
      </w:tr>
      <w:tr w:rsidR="00843BC7">
        <w:tc>
          <w:tcPr>
            <w:tcW w:w="1440" w:type="dxa"/>
            <w:tcBorders>
              <w:top w:val="single" w:sz="4" w:space="0" w:color="auto"/>
              <w:left w:val="single" w:sz="4" w:space="0" w:color="auto"/>
              <w:bottom w:val="nil"/>
              <w:right w:val="single" w:sz="4" w:space="0" w:color="auto"/>
            </w:tcBorders>
          </w:tcPr>
          <w:p w:rsidR="00843BC7" w:rsidRPr="00517721" w:rsidRDefault="00E61C62" w:rsidP="00E61C62">
            <w:pPr>
              <w:spacing w:before="60"/>
              <w:rPr>
                <w:sz w:val="18"/>
              </w:rPr>
            </w:pPr>
            <w:r>
              <w:rPr>
                <w:sz w:val="18"/>
              </w:rPr>
              <w:t>Příloha I</w:t>
            </w:r>
          </w:p>
        </w:tc>
        <w:tc>
          <w:tcPr>
            <w:tcW w:w="5400" w:type="dxa"/>
            <w:gridSpan w:val="4"/>
            <w:tcBorders>
              <w:top w:val="single" w:sz="4" w:space="0" w:color="auto"/>
              <w:left w:val="single" w:sz="4" w:space="0" w:color="auto"/>
              <w:bottom w:val="nil"/>
              <w:right w:val="single" w:sz="18" w:space="0" w:color="auto"/>
            </w:tcBorders>
          </w:tcPr>
          <w:p w:rsidR="00614A2C" w:rsidRPr="00313917" w:rsidRDefault="00614A2C" w:rsidP="00614A2C">
            <w:pPr>
              <w:spacing w:before="60"/>
              <w:jc w:val="both"/>
              <w:rPr>
                <w:bCs/>
                <w:color w:val="444444"/>
                <w:sz w:val="18"/>
                <w:szCs w:val="18"/>
              </w:rPr>
            </w:pPr>
            <w:r w:rsidRPr="00614A2C">
              <w:rPr>
                <w:color w:val="444444"/>
                <w:sz w:val="18"/>
                <w:szCs w:val="18"/>
              </w:rPr>
              <w:t>Článek</w:t>
            </w:r>
            <w:r w:rsidRPr="00313917">
              <w:rPr>
                <w:bCs/>
                <w:color w:val="444444"/>
                <w:sz w:val="18"/>
                <w:szCs w:val="18"/>
              </w:rPr>
              <w:t xml:space="preserve"> 7 tohoto nařízení </w:t>
            </w:r>
          </w:p>
          <w:p w:rsidR="00614A2C" w:rsidRPr="00313917" w:rsidRDefault="00614A2C" w:rsidP="00614A2C">
            <w:pPr>
              <w:jc w:val="both"/>
              <w:rPr>
                <w:color w:val="444444"/>
                <w:sz w:val="18"/>
                <w:szCs w:val="18"/>
              </w:rPr>
            </w:pPr>
            <w:r w:rsidRPr="00313917">
              <w:rPr>
                <w:color w:val="444444"/>
                <w:sz w:val="18"/>
                <w:szCs w:val="18"/>
              </w:rPr>
              <w:t>1) Bod 1 přílohy II směrnice 2006/112/ES:</w:t>
            </w:r>
          </w:p>
          <w:p w:rsidR="00614A2C" w:rsidRPr="00313917" w:rsidRDefault="00614A2C" w:rsidP="00614A2C">
            <w:pPr>
              <w:jc w:val="both"/>
              <w:rPr>
                <w:color w:val="444444"/>
                <w:sz w:val="18"/>
                <w:szCs w:val="18"/>
              </w:rPr>
            </w:pPr>
            <w:r w:rsidRPr="00313917">
              <w:rPr>
                <w:color w:val="444444"/>
                <w:sz w:val="18"/>
                <w:szCs w:val="18"/>
              </w:rPr>
              <w:t>a) web-site hosting a web-page hosting;</w:t>
            </w:r>
          </w:p>
          <w:p w:rsidR="00614A2C" w:rsidRPr="00313917" w:rsidRDefault="00614A2C" w:rsidP="00614A2C">
            <w:pPr>
              <w:jc w:val="both"/>
              <w:rPr>
                <w:color w:val="444444"/>
                <w:sz w:val="18"/>
                <w:szCs w:val="18"/>
              </w:rPr>
            </w:pPr>
            <w:r w:rsidRPr="00313917">
              <w:rPr>
                <w:color w:val="444444"/>
                <w:sz w:val="18"/>
                <w:szCs w:val="18"/>
              </w:rPr>
              <w:t>b) automatizovaná online dálková údržba programů;</w:t>
            </w:r>
          </w:p>
          <w:p w:rsidR="00614A2C" w:rsidRPr="00313917" w:rsidRDefault="00614A2C" w:rsidP="00614A2C">
            <w:pPr>
              <w:jc w:val="both"/>
              <w:rPr>
                <w:color w:val="444444"/>
                <w:sz w:val="18"/>
                <w:szCs w:val="18"/>
              </w:rPr>
            </w:pPr>
            <w:r w:rsidRPr="00313917">
              <w:rPr>
                <w:color w:val="444444"/>
                <w:sz w:val="18"/>
                <w:szCs w:val="18"/>
              </w:rPr>
              <w:t>c) správa vzdálených systémů;</w:t>
            </w:r>
          </w:p>
          <w:p w:rsidR="00614A2C" w:rsidRPr="00313917" w:rsidRDefault="00614A2C" w:rsidP="00614A2C">
            <w:pPr>
              <w:jc w:val="both"/>
              <w:rPr>
                <w:color w:val="444444"/>
                <w:sz w:val="18"/>
                <w:szCs w:val="18"/>
              </w:rPr>
            </w:pPr>
            <w:r w:rsidRPr="00313917">
              <w:rPr>
                <w:color w:val="444444"/>
                <w:sz w:val="18"/>
                <w:szCs w:val="18"/>
              </w:rPr>
              <w:t>d) online uchovávání dat, kdy jsou konkrétní data ukládána a vyhledávána elektronicky;</w:t>
            </w:r>
          </w:p>
          <w:p w:rsidR="00614A2C" w:rsidRPr="00313917" w:rsidRDefault="00614A2C" w:rsidP="00614A2C">
            <w:pPr>
              <w:jc w:val="both"/>
              <w:rPr>
                <w:color w:val="444444"/>
                <w:sz w:val="18"/>
                <w:szCs w:val="18"/>
              </w:rPr>
            </w:pPr>
            <w:r w:rsidRPr="00313917">
              <w:rPr>
                <w:color w:val="444444"/>
                <w:sz w:val="18"/>
                <w:szCs w:val="18"/>
              </w:rPr>
              <w:t>e) online poskytování prostoru na disku na žádost.</w:t>
            </w:r>
          </w:p>
          <w:p w:rsidR="00614A2C" w:rsidRPr="00313917" w:rsidRDefault="00614A2C" w:rsidP="00614A2C">
            <w:pPr>
              <w:spacing w:before="60"/>
              <w:jc w:val="both"/>
              <w:rPr>
                <w:color w:val="444444"/>
                <w:sz w:val="18"/>
                <w:szCs w:val="18"/>
              </w:rPr>
            </w:pPr>
            <w:r w:rsidRPr="00313917">
              <w:rPr>
                <w:color w:val="444444"/>
                <w:sz w:val="18"/>
                <w:szCs w:val="18"/>
              </w:rPr>
              <w:t>2) Bod 2 přílohy II směrnice 2006/112/ES:</w:t>
            </w:r>
          </w:p>
          <w:p w:rsidR="00614A2C" w:rsidRPr="00313917" w:rsidRDefault="00614A2C" w:rsidP="00614A2C">
            <w:pPr>
              <w:jc w:val="both"/>
              <w:rPr>
                <w:color w:val="444444"/>
                <w:sz w:val="18"/>
                <w:szCs w:val="18"/>
              </w:rPr>
            </w:pPr>
            <w:r w:rsidRPr="00313917">
              <w:rPr>
                <w:color w:val="444444"/>
                <w:sz w:val="18"/>
                <w:szCs w:val="18"/>
              </w:rPr>
              <w:t>a) přístup k programovému vybavení nebo jeho stahování včetně zprostředkovacích/účetních programů a antivirového programového vybavení včetně aktualizací;</w:t>
            </w:r>
          </w:p>
          <w:p w:rsidR="00614A2C" w:rsidRPr="00313917" w:rsidRDefault="00614A2C" w:rsidP="00614A2C">
            <w:pPr>
              <w:jc w:val="both"/>
              <w:rPr>
                <w:color w:val="444444"/>
                <w:sz w:val="18"/>
                <w:szCs w:val="18"/>
              </w:rPr>
            </w:pPr>
            <w:r w:rsidRPr="00313917">
              <w:rPr>
                <w:color w:val="444444"/>
                <w:sz w:val="18"/>
                <w:szCs w:val="18"/>
              </w:rPr>
              <w:t>b) programové vybavení blokující bannerové reklamy, též známé pod označením „bannerblockers“;</w:t>
            </w:r>
          </w:p>
          <w:p w:rsidR="00614A2C" w:rsidRPr="00313917" w:rsidRDefault="00614A2C" w:rsidP="00614A2C">
            <w:pPr>
              <w:jc w:val="both"/>
              <w:rPr>
                <w:color w:val="444444"/>
                <w:sz w:val="18"/>
                <w:szCs w:val="18"/>
              </w:rPr>
            </w:pPr>
            <w:r w:rsidRPr="00313917">
              <w:rPr>
                <w:color w:val="444444"/>
                <w:sz w:val="18"/>
                <w:szCs w:val="18"/>
              </w:rPr>
              <w:t>c) ovladače ke stažení, jako je programové vybavení, které umožňuje počítačům pracovat s periferním zařízením, například tiskárnami;</w:t>
            </w:r>
          </w:p>
          <w:p w:rsidR="00614A2C" w:rsidRPr="00313917" w:rsidRDefault="00614A2C" w:rsidP="00614A2C">
            <w:pPr>
              <w:jc w:val="both"/>
              <w:rPr>
                <w:color w:val="444444"/>
                <w:sz w:val="18"/>
                <w:szCs w:val="18"/>
              </w:rPr>
            </w:pPr>
            <w:r w:rsidRPr="00313917">
              <w:rPr>
                <w:color w:val="444444"/>
                <w:sz w:val="18"/>
                <w:szCs w:val="18"/>
              </w:rPr>
              <w:t>d) online automatizovaná instalace filtrů na internetových stránkách;</w:t>
            </w:r>
          </w:p>
          <w:p w:rsidR="00614A2C" w:rsidRPr="00313917" w:rsidRDefault="00614A2C" w:rsidP="00614A2C">
            <w:pPr>
              <w:jc w:val="both"/>
              <w:rPr>
                <w:color w:val="444444"/>
                <w:sz w:val="18"/>
                <w:szCs w:val="18"/>
              </w:rPr>
            </w:pPr>
            <w:r w:rsidRPr="00313917">
              <w:rPr>
                <w:color w:val="444444"/>
                <w:sz w:val="18"/>
                <w:szCs w:val="18"/>
              </w:rPr>
              <w:t>e) online automatizovaná instalace bezpečnostních bran (firewalls).</w:t>
            </w:r>
          </w:p>
          <w:p w:rsidR="00614A2C" w:rsidRPr="00313917" w:rsidRDefault="00614A2C" w:rsidP="00614A2C">
            <w:pPr>
              <w:spacing w:before="60"/>
              <w:jc w:val="both"/>
              <w:rPr>
                <w:color w:val="444444"/>
                <w:sz w:val="18"/>
                <w:szCs w:val="18"/>
              </w:rPr>
            </w:pPr>
            <w:r w:rsidRPr="00313917">
              <w:rPr>
                <w:color w:val="444444"/>
                <w:sz w:val="18"/>
                <w:szCs w:val="18"/>
              </w:rPr>
              <w:t>3) Bod 3 přílohy II směrnice 2006/112/ES:</w:t>
            </w:r>
          </w:p>
          <w:p w:rsidR="00614A2C" w:rsidRPr="00313917" w:rsidRDefault="00614A2C" w:rsidP="0055217C">
            <w:pPr>
              <w:jc w:val="both"/>
              <w:rPr>
                <w:color w:val="444444"/>
                <w:sz w:val="18"/>
                <w:szCs w:val="18"/>
              </w:rPr>
            </w:pPr>
            <w:r w:rsidRPr="00313917">
              <w:rPr>
                <w:color w:val="444444"/>
                <w:sz w:val="18"/>
                <w:szCs w:val="18"/>
              </w:rPr>
              <w:t>a) přístup k variantám pracovní plochy nebo jejich stahování;</w:t>
            </w:r>
          </w:p>
          <w:p w:rsidR="00614A2C" w:rsidRPr="00313917" w:rsidRDefault="00614A2C" w:rsidP="0055217C">
            <w:pPr>
              <w:jc w:val="both"/>
              <w:rPr>
                <w:color w:val="444444"/>
                <w:sz w:val="18"/>
                <w:szCs w:val="18"/>
              </w:rPr>
            </w:pPr>
            <w:r w:rsidRPr="00313917">
              <w:rPr>
                <w:color w:val="444444"/>
                <w:sz w:val="18"/>
                <w:szCs w:val="18"/>
              </w:rPr>
              <w:t>b) přístup k fotografiím nebo obrázkům či spořičům obrazovky a jejich stahování;</w:t>
            </w:r>
          </w:p>
          <w:p w:rsidR="00614A2C" w:rsidRPr="00313917" w:rsidRDefault="00614A2C" w:rsidP="0055217C">
            <w:pPr>
              <w:jc w:val="both"/>
              <w:rPr>
                <w:color w:val="444444"/>
                <w:sz w:val="18"/>
                <w:szCs w:val="18"/>
              </w:rPr>
            </w:pPr>
            <w:r w:rsidRPr="00313917">
              <w:rPr>
                <w:color w:val="444444"/>
                <w:sz w:val="18"/>
                <w:szCs w:val="18"/>
              </w:rPr>
              <w:t>c) digitalizovaný obsah knih a jiných elektronických publikací;</w:t>
            </w:r>
          </w:p>
          <w:p w:rsidR="00614A2C" w:rsidRPr="00313917" w:rsidRDefault="00614A2C" w:rsidP="0055217C">
            <w:pPr>
              <w:jc w:val="both"/>
              <w:rPr>
                <w:color w:val="444444"/>
                <w:sz w:val="18"/>
                <w:szCs w:val="18"/>
              </w:rPr>
            </w:pPr>
            <w:r w:rsidRPr="00313917">
              <w:rPr>
                <w:color w:val="444444"/>
                <w:sz w:val="18"/>
                <w:szCs w:val="18"/>
              </w:rPr>
              <w:t>d) odebírání online novin a časopisů;</w:t>
            </w:r>
          </w:p>
          <w:p w:rsidR="00614A2C" w:rsidRPr="00313917" w:rsidRDefault="00614A2C" w:rsidP="0055217C">
            <w:pPr>
              <w:jc w:val="both"/>
              <w:rPr>
                <w:color w:val="444444"/>
                <w:sz w:val="18"/>
                <w:szCs w:val="18"/>
              </w:rPr>
            </w:pPr>
            <w:r w:rsidRPr="00313917">
              <w:rPr>
                <w:color w:val="444444"/>
                <w:sz w:val="18"/>
                <w:szCs w:val="18"/>
              </w:rPr>
              <w:t>e) statistické údaje ohledně přihlašování a odhlašování a návštěvnosti internetových stránek;</w:t>
            </w:r>
          </w:p>
          <w:p w:rsidR="00614A2C" w:rsidRPr="00313917" w:rsidRDefault="00614A2C" w:rsidP="0055217C">
            <w:pPr>
              <w:jc w:val="both"/>
              <w:rPr>
                <w:color w:val="444444"/>
                <w:sz w:val="18"/>
                <w:szCs w:val="18"/>
              </w:rPr>
            </w:pPr>
            <w:r w:rsidRPr="00313917">
              <w:rPr>
                <w:color w:val="444444"/>
                <w:sz w:val="18"/>
                <w:szCs w:val="18"/>
              </w:rPr>
              <w:t>f) online aktuality, dopravní informace a zprávy o počasí;</w:t>
            </w:r>
          </w:p>
          <w:p w:rsidR="00614A2C" w:rsidRPr="00313917" w:rsidRDefault="00614A2C" w:rsidP="0055217C">
            <w:pPr>
              <w:jc w:val="both"/>
              <w:rPr>
                <w:color w:val="444444"/>
                <w:sz w:val="18"/>
                <w:szCs w:val="18"/>
              </w:rPr>
            </w:pPr>
            <w:r w:rsidRPr="00313917">
              <w:rPr>
                <w:color w:val="444444"/>
                <w:sz w:val="18"/>
                <w:szCs w:val="18"/>
              </w:rPr>
              <w:t>g) online informace generované automaticky programovým vybavením z konkrétních údajů zadávaných příjemcem, jako jsou právní či finanční údaje, zejména takové údaje, jakými jsou průběžně aktualizované údaje týkající se akciových trhů;</w:t>
            </w:r>
          </w:p>
          <w:p w:rsidR="00614A2C" w:rsidRPr="00313917" w:rsidRDefault="00614A2C" w:rsidP="0055217C">
            <w:pPr>
              <w:jc w:val="both"/>
              <w:rPr>
                <w:color w:val="444444"/>
                <w:sz w:val="18"/>
                <w:szCs w:val="18"/>
              </w:rPr>
            </w:pPr>
            <w:r w:rsidRPr="00313917">
              <w:rPr>
                <w:color w:val="444444"/>
                <w:sz w:val="18"/>
                <w:szCs w:val="18"/>
              </w:rPr>
              <w:t>h) poskytování prostoru pro reklamu včetně bannerových reklam na internetových stránkách;</w:t>
            </w:r>
          </w:p>
          <w:p w:rsidR="00614A2C" w:rsidRPr="00313917" w:rsidRDefault="00614A2C" w:rsidP="0055217C">
            <w:pPr>
              <w:jc w:val="both"/>
              <w:rPr>
                <w:color w:val="444444"/>
                <w:sz w:val="18"/>
                <w:szCs w:val="18"/>
              </w:rPr>
            </w:pPr>
            <w:r w:rsidRPr="00313917">
              <w:rPr>
                <w:color w:val="444444"/>
                <w:sz w:val="18"/>
                <w:szCs w:val="18"/>
              </w:rPr>
              <w:t>i) používání vyhledávačů a internetových adresářů.</w:t>
            </w:r>
          </w:p>
          <w:p w:rsidR="00614A2C" w:rsidRPr="00313917" w:rsidRDefault="00614A2C" w:rsidP="00614A2C">
            <w:pPr>
              <w:spacing w:before="60"/>
              <w:jc w:val="both"/>
              <w:rPr>
                <w:color w:val="444444"/>
                <w:sz w:val="18"/>
                <w:szCs w:val="18"/>
              </w:rPr>
            </w:pPr>
            <w:r w:rsidRPr="00313917">
              <w:rPr>
                <w:color w:val="444444"/>
                <w:sz w:val="18"/>
                <w:szCs w:val="18"/>
              </w:rPr>
              <w:t>4) Bod 4 přílohy II směrnice 2006/112/ES:</w:t>
            </w:r>
          </w:p>
          <w:p w:rsidR="00614A2C" w:rsidRPr="00313917" w:rsidRDefault="00614A2C" w:rsidP="0055217C">
            <w:pPr>
              <w:jc w:val="both"/>
              <w:rPr>
                <w:color w:val="444444"/>
                <w:sz w:val="18"/>
                <w:szCs w:val="18"/>
              </w:rPr>
            </w:pPr>
            <w:r w:rsidRPr="00313917">
              <w:rPr>
                <w:color w:val="444444"/>
                <w:sz w:val="18"/>
                <w:szCs w:val="18"/>
              </w:rPr>
              <w:t>a) přístup k hudbě nebo její stahování do počítačů nebo mobilních telefonů;</w:t>
            </w:r>
          </w:p>
          <w:p w:rsidR="00614A2C" w:rsidRPr="00313917" w:rsidRDefault="00614A2C" w:rsidP="0055217C">
            <w:pPr>
              <w:jc w:val="both"/>
              <w:rPr>
                <w:color w:val="444444"/>
                <w:sz w:val="18"/>
                <w:szCs w:val="18"/>
              </w:rPr>
            </w:pPr>
            <w:r w:rsidRPr="00313917">
              <w:rPr>
                <w:color w:val="444444"/>
                <w:sz w:val="18"/>
                <w:szCs w:val="18"/>
              </w:rPr>
              <w:t>b) přístup ke znělkám, úryvkům, vyzváněcím melodiím a jiným zvukům nebo jejich stahování;</w:t>
            </w:r>
          </w:p>
          <w:p w:rsidR="00614A2C" w:rsidRPr="00313917" w:rsidRDefault="00614A2C" w:rsidP="0055217C">
            <w:pPr>
              <w:jc w:val="both"/>
              <w:rPr>
                <w:color w:val="444444"/>
                <w:sz w:val="18"/>
                <w:szCs w:val="18"/>
              </w:rPr>
            </w:pPr>
            <w:r w:rsidRPr="00313917">
              <w:rPr>
                <w:color w:val="444444"/>
                <w:sz w:val="18"/>
                <w:szCs w:val="18"/>
              </w:rPr>
              <w:t>c) přístup k filmům nebo jejich stahování;</w:t>
            </w:r>
          </w:p>
          <w:p w:rsidR="00614A2C" w:rsidRPr="00313917" w:rsidRDefault="00614A2C" w:rsidP="0055217C">
            <w:pPr>
              <w:jc w:val="both"/>
              <w:rPr>
                <w:color w:val="444444"/>
                <w:sz w:val="18"/>
                <w:szCs w:val="18"/>
              </w:rPr>
            </w:pPr>
            <w:r w:rsidRPr="00313917">
              <w:rPr>
                <w:color w:val="444444"/>
                <w:sz w:val="18"/>
                <w:szCs w:val="18"/>
              </w:rPr>
              <w:t>d) stahování her do počítačů nebo mobilních telefonů;</w:t>
            </w:r>
          </w:p>
          <w:p w:rsidR="00614A2C" w:rsidRPr="00313917" w:rsidRDefault="00614A2C" w:rsidP="0055217C">
            <w:pPr>
              <w:jc w:val="both"/>
              <w:rPr>
                <w:color w:val="444444"/>
                <w:sz w:val="18"/>
                <w:szCs w:val="18"/>
              </w:rPr>
            </w:pPr>
            <w:r w:rsidRPr="00313917">
              <w:rPr>
                <w:color w:val="444444"/>
                <w:sz w:val="18"/>
                <w:szCs w:val="18"/>
              </w:rPr>
              <w:t>e) přístup k automatizovaným online hrám, které jsou závislé na internetu nebo jiných podobných elektronických sítích, kdy jsou hráči od sebe vzdáleni.</w:t>
            </w:r>
          </w:p>
          <w:p w:rsidR="00614A2C" w:rsidRPr="00313917" w:rsidRDefault="00614A2C" w:rsidP="00614A2C">
            <w:pPr>
              <w:spacing w:before="60"/>
              <w:jc w:val="both"/>
              <w:rPr>
                <w:color w:val="444444"/>
                <w:sz w:val="18"/>
                <w:szCs w:val="18"/>
              </w:rPr>
            </w:pPr>
            <w:r w:rsidRPr="00313917">
              <w:rPr>
                <w:color w:val="444444"/>
                <w:sz w:val="18"/>
                <w:szCs w:val="18"/>
              </w:rPr>
              <w:t>5) Bod 5 přílohy II směrnice 2006/112/ES:</w:t>
            </w:r>
          </w:p>
          <w:p w:rsidR="00614A2C" w:rsidRPr="00313917" w:rsidRDefault="00614A2C" w:rsidP="0055217C">
            <w:pPr>
              <w:jc w:val="both"/>
              <w:rPr>
                <w:color w:val="444444"/>
                <w:sz w:val="18"/>
                <w:szCs w:val="18"/>
              </w:rPr>
            </w:pPr>
            <w:r w:rsidRPr="00313917">
              <w:rPr>
                <w:color w:val="444444"/>
                <w:sz w:val="18"/>
                <w:szCs w:val="18"/>
              </w:rPr>
              <w:t>a) automatizovaná výuka na dálku, která je pro svůj provoz závislá na internetu nebo podobné elektronické síti a jejíž poskytování vyžaduje omezený lidský zásah nebo nevyžaduje žádný lidský zásah včetně virtuálních tříd, s výjimkou případů, kdy je internet nebo podobná elektronická síť používána jako nástroj pouze pro komunikaci mezi učitelem a studentem;</w:t>
            </w:r>
          </w:p>
          <w:p w:rsidR="00614A2C" w:rsidRDefault="00614A2C" w:rsidP="0055217C">
            <w:pPr>
              <w:jc w:val="both"/>
              <w:rPr>
                <w:sz w:val="18"/>
              </w:rPr>
            </w:pPr>
            <w:r w:rsidRPr="00313917">
              <w:rPr>
                <w:color w:val="444444"/>
                <w:sz w:val="18"/>
                <w:szCs w:val="18"/>
              </w:rPr>
              <w:t>b) pracovní sešity vyplněné žáky online a ohodnocené automaticky bez lidského zásahu.</w:t>
            </w:r>
          </w:p>
        </w:tc>
        <w:tc>
          <w:tcPr>
            <w:tcW w:w="900" w:type="dxa"/>
            <w:tcBorders>
              <w:top w:val="single" w:sz="4" w:space="0" w:color="auto"/>
              <w:left w:val="single" w:sz="18" w:space="0" w:color="auto"/>
              <w:bottom w:val="nil"/>
              <w:right w:val="single" w:sz="4" w:space="0" w:color="auto"/>
            </w:tcBorders>
          </w:tcPr>
          <w:p w:rsidR="00843BC7" w:rsidRDefault="00843BC7" w:rsidP="00C24BA2">
            <w:pPr>
              <w:rPr>
                <w:sz w:val="18"/>
              </w:rPr>
            </w:pPr>
          </w:p>
        </w:tc>
        <w:tc>
          <w:tcPr>
            <w:tcW w:w="1080" w:type="dxa"/>
            <w:tcBorders>
              <w:top w:val="single" w:sz="4" w:space="0" w:color="auto"/>
              <w:left w:val="single" w:sz="4" w:space="0" w:color="auto"/>
              <w:bottom w:val="nil"/>
              <w:right w:val="single" w:sz="4" w:space="0" w:color="auto"/>
            </w:tcBorders>
          </w:tcPr>
          <w:p w:rsidR="00843BC7" w:rsidRDefault="00843BC7" w:rsidP="00C24BA2">
            <w:pPr>
              <w:rPr>
                <w:sz w:val="18"/>
              </w:rPr>
            </w:pPr>
          </w:p>
        </w:tc>
        <w:tc>
          <w:tcPr>
            <w:tcW w:w="5400" w:type="dxa"/>
            <w:gridSpan w:val="4"/>
            <w:tcBorders>
              <w:top w:val="single" w:sz="4" w:space="0" w:color="auto"/>
              <w:left w:val="single" w:sz="4" w:space="0" w:color="auto"/>
              <w:bottom w:val="nil"/>
              <w:right w:val="single" w:sz="4" w:space="0" w:color="auto"/>
            </w:tcBorders>
          </w:tcPr>
          <w:p w:rsidR="00843BC7"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nil"/>
              <w:right w:val="single" w:sz="4" w:space="0" w:color="auto"/>
            </w:tcBorders>
          </w:tcPr>
          <w:p w:rsidR="00843BC7" w:rsidRDefault="00843BC7"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843BC7" w:rsidRPr="00517721" w:rsidRDefault="00843BC7" w:rsidP="00C24BA2">
            <w:pPr>
              <w:spacing w:before="60"/>
              <w:rPr>
                <w:sz w:val="18"/>
              </w:rPr>
            </w:pPr>
          </w:p>
        </w:tc>
      </w:tr>
      <w:tr w:rsidR="00843BC7">
        <w:tc>
          <w:tcPr>
            <w:tcW w:w="1440" w:type="dxa"/>
            <w:tcBorders>
              <w:top w:val="single" w:sz="4" w:space="0" w:color="auto"/>
              <w:left w:val="single" w:sz="4" w:space="0" w:color="auto"/>
              <w:bottom w:val="nil"/>
              <w:right w:val="single" w:sz="4" w:space="0" w:color="auto"/>
            </w:tcBorders>
          </w:tcPr>
          <w:p w:rsidR="00843BC7" w:rsidRPr="00517721" w:rsidRDefault="0055217C" w:rsidP="00C24BA2">
            <w:pPr>
              <w:spacing w:before="60"/>
              <w:rPr>
                <w:sz w:val="18"/>
              </w:rPr>
            </w:pPr>
            <w:r>
              <w:rPr>
                <w:sz w:val="18"/>
              </w:rPr>
              <w:t>Příloha II</w:t>
            </w:r>
          </w:p>
        </w:tc>
        <w:tc>
          <w:tcPr>
            <w:tcW w:w="5400" w:type="dxa"/>
            <w:gridSpan w:val="4"/>
            <w:tcBorders>
              <w:top w:val="single" w:sz="4" w:space="0" w:color="auto"/>
              <w:left w:val="single" w:sz="4" w:space="0" w:color="auto"/>
              <w:bottom w:val="nil"/>
              <w:right w:val="single" w:sz="18" w:space="0" w:color="auto"/>
            </w:tcBorders>
          </w:tcPr>
          <w:p w:rsidR="00843BC7" w:rsidRDefault="0055217C" w:rsidP="00C24BA2">
            <w:pPr>
              <w:rPr>
                <w:sz w:val="18"/>
              </w:rPr>
            </w:pPr>
            <w:r w:rsidRPr="0055217C">
              <w:rPr>
                <w:sz w:val="18"/>
              </w:rPr>
              <w:t>Článek 51 tohoto nařízení</w:t>
            </w:r>
          </w:p>
          <w:p w:rsidR="0055217C" w:rsidRDefault="0055217C" w:rsidP="0055217C">
            <w:pPr>
              <w:rPr>
                <w:sz w:val="18"/>
              </w:rPr>
            </w:pPr>
            <w:r>
              <w:rPr>
                <w:sz w:val="18"/>
              </w:rPr>
              <w:t>Osvědčení o osvobození od DPH nebo spotřební daně (formulář)</w:t>
            </w:r>
          </w:p>
        </w:tc>
        <w:tc>
          <w:tcPr>
            <w:tcW w:w="900" w:type="dxa"/>
            <w:tcBorders>
              <w:top w:val="single" w:sz="4" w:space="0" w:color="auto"/>
              <w:left w:val="single" w:sz="18" w:space="0" w:color="auto"/>
              <w:bottom w:val="nil"/>
              <w:right w:val="single" w:sz="4" w:space="0" w:color="auto"/>
            </w:tcBorders>
          </w:tcPr>
          <w:p w:rsidR="00843BC7" w:rsidRDefault="00843BC7" w:rsidP="00C24BA2">
            <w:pPr>
              <w:rPr>
                <w:sz w:val="18"/>
              </w:rPr>
            </w:pPr>
          </w:p>
        </w:tc>
        <w:tc>
          <w:tcPr>
            <w:tcW w:w="1080" w:type="dxa"/>
            <w:tcBorders>
              <w:top w:val="single" w:sz="4" w:space="0" w:color="auto"/>
              <w:left w:val="single" w:sz="4" w:space="0" w:color="auto"/>
              <w:bottom w:val="nil"/>
              <w:right w:val="single" w:sz="4" w:space="0" w:color="auto"/>
            </w:tcBorders>
          </w:tcPr>
          <w:p w:rsidR="00843BC7" w:rsidRDefault="00843BC7" w:rsidP="00C24BA2">
            <w:pPr>
              <w:rPr>
                <w:sz w:val="18"/>
              </w:rPr>
            </w:pPr>
          </w:p>
        </w:tc>
        <w:tc>
          <w:tcPr>
            <w:tcW w:w="5400" w:type="dxa"/>
            <w:gridSpan w:val="4"/>
            <w:tcBorders>
              <w:top w:val="single" w:sz="4" w:space="0" w:color="auto"/>
              <w:left w:val="single" w:sz="4" w:space="0" w:color="auto"/>
              <w:bottom w:val="nil"/>
              <w:right w:val="single" w:sz="4" w:space="0" w:color="auto"/>
            </w:tcBorders>
          </w:tcPr>
          <w:p w:rsidR="00843BC7" w:rsidRDefault="005C5A7E" w:rsidP="003B061A">
            <w:pPr>
              <w:jc w:val="both"/>
              <w:rPr>
                <w:sz w:val="18"/>
              </w:rPr>
            </w:pPr>
            <w:r>
              <w:rPr>
                <w:i/>
                <w:sz w:val="18"/>
              </w:rPr>
              <w:t xml:space="preserve">Nerelevantní z hlediska adaptace. </w:t>
            </w:r>
            <w:r w:rsidR="0055217C">
              <w:rPr>
                <w:i/>
                <w:sz w:val="18"/>
              </w:rPr>
              <w:t>Osvědčení je</w:t>
            </w:r>
            <w:r>
              <w:rPr>
                <w:i/>
                <w:sz w:val="18"/>
              </w:rPr>
              <w:t xml:space="preserve"> přímo použitelné.</w:t>
            </w:r>
          </w:p>
        </w:tc>
        <w:tc>
          <w:tcPr>
            <w:tcW w:w="900" w:type="dxa"/>
            <w:tcBorders>
              <w:top w:val="single" w:sz="4" w:space="0" w:color="auto"/>
              <w:left w:val="single" w:sz="4" w:space="0" w:color="auto"/>
              <w:bottom w:val="nil"/>
              <w:right w:val="single" w:sz="4" w:space="0" w:color="auto"/>
            </w:tcBorders>
          </w:tcPr>
          <w:p w:rsidR="00843BC7" w:rsidRDefault="00843BC7" w:rsidP="00C24BA2">
            <w:pPr>
              <w:jc w:val="center"/>
            </w:pPr>
            <w:r w:rsidRPr="00B04349">
              <w:rPr>
                <w:sz w:val="18"/>
              </w:rPr>
              <w:t>NA</w:t>
            </w:r>
          </w:p>
        </w:tc>
        <w:tc>
          <w:tcPr>
            <w:tcW w:w="720" w:type="dxa"/>
            <w:tcBorders>
              <w:top w:val="single" w:sz="4" w:space="0" w:color="auto"/>
              <w:left w:val="single" w:sz="4" w:space="0" w:color="auto"/>
              <w:bottom w:val="nil"/>
              <w:right w:val="single" w:sz="4" w:space="0" w:color="auto"/>
            </w:tcBorders>
          </w:tcPr>
          <w:p w:rsidR="00843BC7" w:rsidRPr="00517721" w:rsidRDefault="00843BC7" w:rsidP="00C24BA2">
            <w:pPr>
              <w:spacing w:before="60"/>
              <w:rPr>
                <w:sz w:val="18"/>
              </w:rPr>
            </w:pPr>
          </w:p>
        </w:tc>
      </w:tr>
      <w:tr w:rsidR="00843BC7" w:rsidTr="002053BC">
        <w:tc>
          <w:tcPr>
            <w:tcW w:w="1440" w:type="dxa"/>
            <w:tcBorders>
              <w:top w:val="single" w:sz="4" w:space="0" w:color="auto"/>
              <w:left w:val="single" w:sz="4" w:space="0" w:color="auto"/>
              <w:bottom w:val="single" w:sz="4" w:space="0" w:color="auto"/>
              <w:right w:val="single" w:sz="4" w:space="0" w:color="auto"/>
            </w:tcBorders>
          </w:tcPr>
          <w:p w:rsidR="00843BC7" w:rsidRPr="00517721" w:rsidRDefault="0055217C" w:rsidP="00C24BA2">
            <w:pPr>
              <w:spacing w:before="60"/>
              <w:rPr>
                <w:sz w:val="18"/>
              </w:rPr>
            </w:pPr>
            <w:r>
              <w:rPr>
                <w:sz w:val="18"/>
              </w:rPr>
              <w:t>Příloha III</w:t>
            </w:r>
          </w:p>
        </w:tc>
        <w:tc>
          <w:tcPr>
            <w:tcW w:w="5400" w:type="dxa"/>
            <w:gridSpan w:val="4"/>
            <w:tcBorders>
              <w:top w:val="single" w:sz="4" w:space="0" w:color="auto"/>
              <w:left w:val="single" w:sz="4" w:space="0" w:color="auto"/>
              <w:bottom w:val="single" w:sz="4" w:space="0" w:color="auto"/>
              <w:right w:val="single" w:sz="18" w:space="0" w:color="auto"/>
            </w:tcBorders>
          </w:tcPr>
          <w:p w:rsidR="00843BC7" w:rsidRDefault="0055217C" w:rsidP="00C24BA2">
            <w:pPr>
              <w:rPr>
                <w:sz w:val="18"/>
              </w:rPr>
            </w:pPr>
            <w:r w:rsidRPr="0055217C">
              <w:rPr>
                <w:sz w:val="18"/>
              </w:rPr>
              <w:t>Článek 56 tohoto nařízení</w:t>
            </w:r>
          </w:p>
          <w:p w:rsidR="0055217C" w:rsidRPr="00F72AAD" w:rsidRDefault="0055217C" w:rsidP="0055217C">
            <w:pPr>
              <w:tabs>
                <w:tab w:val="left" w:pos="2410"/>
              </w:tabs>
              <w:rPr>
                <w:sz w:val="18"/>
                <w:szCs w:val="18"/>
              </w:rPr>
            </w:pPr>
            <w:r w:rsidRPr="00F72AAD">
              <w:rPr>
                <w:sz w:val="18"/>
                <w:szCs w:val="18"/>
              </w:rPr>
              <w:t>Jednotka</w:t>
            </w:r>
            <w:r w:rsidRPr="00F72AAD">
              <w:rPr>
                <w:sz w:val="18"/>
                <w:szCs w:val="18"/>
              </w:rPr>
              <w:tab/>
              <w:t>Obchodované hmotnosti</w:t>
            </w:r>
          </w:p>
          <w:p w:rsidR="0055217C" w:rsidRPr="00F72AAD" w:rsidRDefault="0055217C" w:rsidP="0055217C">
            <w:pPr>
              <w:tabs>
                <w:tab w:val="left" w:pos="2410"/>
              </w:tabs>
              <w:rPr>
                <w:sz w:val="18"/>
                <w:szCs w:val="18"/>
              </w:rPr>
            </w:pPr>
            <w:r w:rsidRPr="00F72AAD">
              <w:rPr>
                <w:sz w:val="18"/>
                <w:szCs w:val="18"/>
              </w:rPr>
              <w:t>Kg</w:t>
            </w:r>
            <w:r w:rsidRPr="00F72AAD">
              <w:rPr>
                <w:sz w:val="18"/>
                <w:szCs w:val="18"/>
              </w:rPr>
              <w:tab/>
              <w:t>12,5/1</w:t>
            </w:r>
          </w:p>
          <w:p w:rsidR="0055217C" w:rsidRPr="00F72AAD" w:rsidRDefault="0055217C" w:rsidP="0055217C">
            <w:pPr>
              <w:tabs>
                <w:tab w:val="left" w:pos="2410"/>
              </w:tabs>
              <w:rPr>
                <w:sz w:val="18"/>
                <w:szCs w:val="18"/>
              </w:rPr>
            </w:pPr>
            <w:r w:rsidRPr="00F72AAD">
              <w:rPr>
                <w:sz w:val="18"/>
                <w:szCs w:val="18"/>
              </w:rPr>
              <w:t>Gram</w:t>
            </w:r>
            <w:r w:rsidRPr="00F72AAD">
              <w:rPr>
                <w:sz w:val="18"/>
                <w:szCs w:val="18"/>
              </w:rPr>
              <w:tab/>
              <w:t>500/250/100/50/20/10/5/2,5/2</w:t>
            </w:r>
          </w:p>
          <w:p w:rsidR="0055217C" w:rsidRPr="00F72AAD" w:rsidRDefault="0055217C" w:rsidP="0055217C">
            <w:pPr>
              <w:tabs>
                <w:tab w:val="left" w:pos="2410"/>
              </w:tabs>
              <w:rPr>
                <w:sz w:val="18"/>
                <w:szCs w:val="18"/>
              </w:rPr>
            </w:pPr>
            <w:r w:rsidRPr="00F72AAD">
              <w:rPr>
                <w:sz w:val="18"/>
                <w:szCs w:val="18"/>
              </w:rPr>
              <w:t>Unce (1 unce = 31,1035 g)</w:t>
            </w:r>
            <w:r w:rsidRPr="00F72AAD">
              <w:rPr>
                <w:sz w:val="18"/>
                <w:szCs w:val="18"/>
              </w:rPr>
              <w:tab/>
              <w:t xml:space="preserve">100/10/5/1/1/2/1/4 </w:t>
            </w:r>
          </w:p>
          <w:p w:rsidR="0055217C" w:rsidRPr="00F72AAD" w:rsidRDefault="0055217C" w:rsidP="0055217C">
            <w:pPr>
              <w:tabs>
                <w:tab w:val="left" w:pos="2410"/>
              </w:tabs>
              <w:rPr>
                <w:sz w:val="18"/>
                <w:szCs w:val="18"/>
              </w:rPr>
            </w:pPr>
            <w:r w:rsidRPr="00F72AAD">
              <w:rPr>
                <w:sz w:val="18"/>
                <w:szCs w:val="18"/>
              </w:rPr>
              <w:t xml:space="preserve">Tael (1 tael = 1,193 uncí) (1) </w:t>
            </w:r>
            <w:r w:rsidRPr="00F72AAD">
              <w:rPr>
                <w:sz w:val="18"/>
                <w:szCs w:val="18"/>
              </w:rPr>
              <w:tab/>
              <w:t>10/5/1</w:t>
            </w:r>
          </w:p>
          <w:p w:rsidR="0055217C" w:rsidRPr="0055217C" w:rsidRDefault="0055217C" w:rsidP="0055217C">
            <w:pPr>
              <w:tabs>
                <w:tab w:val="left" w:pos="2410"/>
              </w:tabs>
              <w:rPr>
                <w:sz w:val="18"/>
                <w:szCs w:val="18"/>
              </w:rPr>
            </w:pPr>
            <w:r w:rsidRPr="00F72AAD">
              <w:rPr>
                <w:sz w:val="18"/>
                <w:szCs w:val="18"/>
              </w:rPr>
              <w:t xml:space="preserve">Tóla (10 tól = 3,75 uncí) (2) </w:t>
            </w:r>
            <w:r w:rsidRPr="00F72AAD">
              <w:rPr>
                <w:sz w:val="18"/>
                <w:szCs w:val="18"/>
              </w:rPr>
              <w:tab/>
              <w:t xml:space="preserve">10 </w:t>
            </w:r>
          </w:p>
        </w:tc>
        <w:tc>
          <w:tcPr>
            <w:tcW w:w="900" w:type="dxa"/>
            <w:tcBorders>
              <w:top w:val="single" w:sz="4" w:space="0" w:color="auto"/>
              <w:left w:val="single" w:sz="18" w:space="0" w:color="auto"/>
              <w:bottom w:val="single" w:sz="4" w:space="0" w:color="auto"/>
              <w:right w:val="single" w:sz="4" w:space="0" w:color="auto"/>
            </w:tcBorders>
          </w:tcPr>
          <w:p w:rsidR="00843BC7" w:rsidRDefault="00843BC7" w:rsidP="00C24BA2">
            <w:pPr>
              <w:rPr>
                <w:sz w:val="18"/>
              </w:rPr>
            </w:pPr>
          </w:p>
        </w:tc>
        <w:tc>
          <w:tcPr>
            <w:tcW w:w="1080" w:type="dxa"/>
            <w:tcBorders>
              <w:top w:val="single" w:sz="4" w:space="0" w:color="auto"/>
              <w:left w:val="single" w:sz="4" w:space="0" w:color="auto"/>
              <w:bottom w:val="single" w:sz="4" w:space="0" w:color="auto"/>
              <w:right w:val="single" w:sz="4" w:space="0" w:color="auto"/>
            </w:tcBorders>
          </w:tcPr>
          <w:p w:rsidR="00843BC7" w:rsidRDefault="00843BC7" w:rsidP="00C24BA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843BC7" w:rsidRDefault="005C5A7E" w:rsidP="003B061A">
            <w:pPr>
              <w:jc w:val="both"/>
              <w:rPr>
                <w:sz w:val="18"/>
              </w:rPr>
            </w:pPr>
            <w:r>
              <w:rPr>
                <w:i/>
                <w:sz w:val="18"/>
              </w:rPr>
              <w:t>Nerelevantní z hlediska adaptace. Ustanovení má výkladový charakter pro specifické případy a je přímo použitelné.</w:t>
            </w:r>
          </w:p>
        </w:tc>
        <w:tc>
          <w:tcPr>
            <w:tcW w:w="900" w:type="dxa"/>
            <w:tcBorders>
              <w:top w:val="single" w:sz="4" w:space="0" w:color="auto"/>
              <w:left w:val="single" w:sz="4" w:space="0" w:color="auto"/>
              <w:bottom w:val="single" w:sz="4" w:space="0" w:color="auto"/>
              <w:right w:val="single" w:sz="4" w:space="0" w:color="auto"/>
            </w:tcBorders>
          </w:tcPr>
          <w:p w:rsidR="00843BC7" w:rsidRDefault="00843BC7" w:rsidP="00C24BA2">
            <w:pPr>
              <w:jc w:val="center"/>
            </w:pPr>
            <w:r w:rsidRPr="00B04349">
              <w:rPr>
                <w:sz w:val="18"/>
              </w:rPr>
              <w:t>NA</w:t>
            </w:r>
          </w:p>
        </w:tc>
        <w:tc>
          <w:tcPr>
            <w:tcW w:w="720" w:type="dxa"/>
            <w:tcBorders>
              <w:top w:val="single" w:sz="4" w:space="0" w:color="auto"/>
              <w:left w:val="single" w:sz="4" w:space="0" w:color="auto"/>
              <w:bottom w:val="single" w:sz="4" w:space="0" w:color="auto"/>
              <w:right w:val="single" w:sz="4" w:space="0" w:color="auto"/>
            </w:tcBorders>
          </w:tcPr>
          <w:p w:rsidR="00843BC7" w:rsidRPr="00517721" w:rsidRDefault="00843BC7" w:rsidP="00C24BA2">
            <w:pPr>
              <w:spacing w:before="60"/>
              <w:rPr>
                <w:sz w:val="18"/>
              </w:rPr>
            </w:pPr>
          </w:p>
        </w:tc>
      </w:tr>
      <w:tr w:rsidR="00843BC7" w:rsidTr="002053BC">
        <w:tc>
          <w:tcPr>
            <w:tcW w:w="1440" w:type="dxa"/>
            <w:tcBorders>
              <w:top w:val="single" w:sz="4" w:space="0" w:color="auto"/>
              <w:left w:val="single" w:sz="4" w:space="0" w:color="auto"/>
              <w:bottom w:val="single" w:sz="4" w:space="0" w:color="auto"/>
              <w:right w:val="single" w:sz="4" w:space="0" w:color="auto"/>
            </w:tcBorders>
          </w:tcPr>
          <w:p w:rsidR="00843BC7" w:rsidRPr="00517721" w:rsidRDefault="002053BC" w:rsidP="002053BC">
            <w:pPr>
              <w:tabs>
                <w:tab w:val="left" w:pos="1129"/>
              </w:tabs>
              <w:spacing w:before="60"/>
              <w:rPr>
                <w:sz w:val="18"/>
              </w:rPr>
            </w:pPr>
            <w:r>
              <w:rPr>
                <w:sz w:val="18"/>
              </w:rPr>
              <w:t>Příloha IV</w:t>
            </w:r>
            <w:r>
              <w:rPr>
                <w:sz w:val="18"/>
              </w:rPr>
              <w:tab/>
            </w:r>
          </w:p>
        </w:tc>
        <w:tc>
          <w:tcPr>
            <w:tcW w:w="5400" w:type="dxa"/>
            <w:gridSpan w:val="4"/>
            <w:tcBorders>
              <w:top w:val="single" w:sz="4" w:space="0" w:color="auto"/>
              <w:left w:val="single" w:sz="4" w:space="0" w:color="auto"/>
              <w:bottom w:val="single" w:sz="4" w:space="0" w:color="auto"/>
              <w:right w:val="single" w:sz="18" w:space="0" w:color="auto"/>
            </w:tcBorders>
          </w:tcPr>
          <w:p w:rsidR="00843BC7" w:rsidRDefault="002053BC" w:rsidP="002053BC">
            <w:pPr>
              <w:spacing w:before="60"/>
              <w:rPr>
                <w:sz w:val="18"/>
              </w:rPr>
            </w:pPr>
            <w:r>
              <w:rPr>
                <w:sz w:val="18"/>
              </w:rPr>
              <w:t>Srovnávací tabulka</w:t>
            </w:r>
          </w:p>
        </w:tc>
        <w:tc>
          <w:tcPr>
            <w:tcW w:w="900" w:type="dxa"/>
            <w:tcBorders>
              <w:top w:val="single" w:sz="4" w:space="0" w:color="auto"/>
              <w:left w:val="single" w:sz="18" w:space="0" w:color="auto"/>
              <w:bottom w:val="single" w:sz="4" w:space="0" w:color="auto"/>
              <w:right w:val="single" w:sz="4" w:space="0" w:color="auto"/>
            </w:tcBorders>
          </w:tcPr>
          <w:p w:rsidR="00843BC7" w:rsidRDefault="00843BC7" w:rsidP="00C24BA2">
            <w:pPr>
              <w:rPr>
                <w:sz w:val="18"/>
              </w:rPr>
            </w:pPr>
          </w:p>
        </w:tc>
        <w:tc>
          <w:tcPr>
            <w:tcW w:w="1080" w:type="dxa"/>
            <w:tcBorders>
              <w:top w:val="single" w:sz="4" w:space="0" w:color="auto"/>
              <w:left w:val="single" w:sz="4" w:space="0" w:color="auto"/>
              <w:bottom w:val="single" w:sz="4" w:space="0" w:color="auto"/>
              <w:right w:val="single" w:sz="4" w:space="0" w:color="auto"/>
            </w:tcBorders>
          </w:tcPr>
          <w:p w:rsidR="00843BC7" w:rsidRDefault="00843BC7" w:rsidP="00C24BA2">
            <w:pPr>
              <w:rPr>
                <w:sz w:val="18"/>
              </w:rPr>
            </w:pPr>
          </w:p>
        </w:tc>
        <w:tc>
          <w:tcPr>
            <w:tcW w:w="5400" w:type="dxa"/>
            <w:gridSpan w:val="4"/>
            <w:tcBorders>
              <w:top w:val="single" w:sz="4" w:space="0" w:color="auto"/>
              <w:left w:val="single" w:sz="4" w:space="0" w:color="auto"/>
              <w:bottom w:val="single" w:sz="4" w:space="0" w:color="auto"/>
              <w:right w:val="single" w:sz="4" w:space="0" w:color="auto"/>
            </w:tcBorders>
          </w:tcPr>
          <w:p w:rsidR="00843BC7" w:rsidRDefault="002053BC" w:rsidP="003B061A">
            <w:pPr>
              <w:jc w:val="both"/>
              <w:rPr>
                <w:sz w:val="18"/>
              </w:rPr>
            </w:pPr>
            <w:r w:rsidRPr="00E61C62">
              <w:rPr>
                <w:i/>
                <w:sz w:val="18"/>
              </w:rPr>
              <w:t>Nerelevantní z hlediska adaptace. Ustanovení má pouze deklaratorní charakter.</w:t>
            </w:r>
          </w:p>
        </w:tc>
        <w:tc>
          <w:tcPr>
            <w:tcW w:w="900" w:type="dxa"/>
            <w:tcBorders>
              <w:top w:val="single" w:sz="4" w:space="0" w:color="auto"/>
              <w:left w:val="single" w:sz="4" w:space="0" w:color="auto"/>
              <w:bottom w:val="single" w:sz="4" w:space="0" w:color="auto"/>
              <w:right w:val="single" w:sz="4" w:space="0" w:color="auto"/>
            </w:tcBorders>
          </w:tcPr>
          <w:p w:rsidR="00843BC7" w:rsidRDefault="00843BC7" w:rsidP="00C24BA2">
            <w:pPr>
              <w:jc w:val="center"/>
            </w:pPr>
            <w:r w:rsidRPr="00B04349">
              <w:rPr>
                <w:sz w:val="18"/>
              </w:rPr>
              <w:t>NA</w:t>
            </w:r>
          </w:p>
        </w:tc>
        <w:tc>
          <w:tcPr>
            <w:tcW w:w="720" w:type="dxa"/>
            <w:tcBorders>
              <w:top w:val="single" w:sz="4" w:space="0" w:color="auto"/>
              <w:left w:val="single" w:sz="4" w:space="0" w:color="auto"/>
              <w:bottom w:val="single" w:sz="4" w:space="0" w:color="auto"/>
              <w:right w:val="single" w:sz="4" w:space="0" w:color="auto"/>
            </w:tcBorders>
          </w:tcPr>
          <w:p w:rsidR="00843BC7" w:rsidRPr="00517721" w:rsidRDefault="00843BC7" w:rsidP="00C24BA2">
            <w:pPr>
              <w:spacing w:before="60"/>
              <w:rPr>
                <w:sz w:val="18"/>
              </w:rPr>
            </w:pPr>
          </w:p>
        </w:tc>
      </w:tr>
    </w:tbl>
    <w:p w:rsidR="008D66F0" w:rsidRDefault="008D66F0">
      <w:pPr>
        <w:rPr>
          <w:sz w:val="18"/>
        </w:rPr>
      </w:pPr>
    </w:p>
    <w:p w:rsidR="008D66F0" w:rsidRDefault="008D66F0">
      <w:pPr>
        <w:rPr>
          <w:sz w:val="18"/>
        </w:rPr>
      </w:pPr>
    </w:p>
    <w:p w:rsidR="008D66F0" w:rsidRDefault="008D66F0">
      <w:pPr>
        <w:pStyle w:val="Nadpis1"/>
      </w:pPr>
      <w:r>
        <w:t>Rekapitulace platných předpisů a legislativních návrhů, jejichž prostřednictvím je implementován předpis  ES/EU</w:t>
      </w:r>
    </w:p>
    <w:p w:rsidR="008D66F0" w:rsidRDefault="008D66F0">
      <w:pPr>
        <w:ind w:left="-900"/>
        <w:rPr>
          <w:sz w:val="18"/>
        </w:rPr>
      </w:pPr>
    </w:p>
    <w:p w:rsidR="008D66F0" w:rsidRDefault="008D66F0" w:rsidP="00135297">
      <w:pPr>
        <w:keepNext/>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8D66F0">
        <w:tc>
          <w:tcPr>
            <w:tcW w:w="540" w:type="dxa"/>
          </w:tcPr>
          <w:p w:rsidR="008D66F0" w:rsidRDefault="008D66F0" w:rsidP="00135297">
            <w:pPr>
              <w:keepNext/>
              <w:spacing w:before="60" w:after="60"/>
              <w:jc w:val="center"/>
              <w:rPr>
                <w:sz w:val="16"/>
              </w:rPr>
            </w:pPr>
            <w:r>
              <w:rPr>
                <w:sz w:val="16"/>
              </w:rPr>
              <w:t>Poř. č</w:t>
            </w:r>
          </w:p>
        </w:tc>
        <w:tc>
          <w:tcPr>
            <w:tcW w:w="900" w:type="dxa"/>
          </w:tcPr>
          <w:p w:rsidR="008D66F0" w:rsidRDefault="008D66F0" w:rsidP="00135297">
            <w:pPr>
              <w:keepNext/>
              <w:spacing w:before="60" w:after="60"/>
              <w:jc w:val="center"/>
              <w:rPr>
                <w:sz w:val="16"/>
              </w:rPr>
            </w:pPr>
            <w:r>
              <w:rPr>
                <w:sz w:val="16"/>
              </w:rPr>
              <w:t>Číslo.Sb.</w:t>
            </w:r>
          </w:p>
        </w:tc>
        <w:tc>
          <w:tcPr>
            <w:tcW w:w="12960" w:type="dxa"/>
          </w:tcPr>
          <w:p w:rsidR="008D66F0" w:rsidRDefault="008D66F0" w:rsidP="00135297">
            <w:pPr>
              <w:keepNext/>
              <w:spacing w:before="60" w:after="60"/>
              <w:jc w:val="center"/>
              <w:rPr>
                <w:sz w:val="16"/>
              </w:rPr>
            </w:pPr>
            <w:r>
              <w:rPr>
                <w:sz w:val="16"/>
              </w:rPr>
              <w:t>Název předpisu</w:t>
            </w:r>
          </w:p>
        </w:tc>
        <w:tc>
          <w:tcPr>
            <w:tcW w:w="1440" w:type="dxa"/>
          </w:tcPr>
          <w:p w:rsidR="008D66F0" w:rsidRDefault="008D66F0" w:rsidP="00135297">
            <w:pPr>
              <w:keepNext/>
              <w:spacing w:before="60" w:after="60"/>
              <w:jc w:val="center"/>
              <w:rPr>
                <w:sz w:val="16"/>
              </w:rPr>
            </w:pPr>
            <w:r>
              <w:rPr>
                <w:sz w:val="16"/>
              </w:rPr>
              <w:t>Účinnost předpisu</w:t>
            </w:r>
          </w:p>
        </w:tc>
      </w:tr>
      <w:tr w:rsidR="00135297" w:rsidTr="00C24BA2">
        <w:tc>
          <w:tcPr>
            <w:tcW w:w="540" w:type="dxa"/>
          </w:tcPr>
          <w:p w:rsidR="00135297" w:rsidRDefault="00135297" w:rsidP="00135297">
            <w:pPr>
              <w:keepNext/>
              <w:numPr>
                <w:ilvl w:val="0"/>
                <w:numId w:val="5"/>
              </w:numPr>
              <w:ind w:left="0" w:firstLine="0"/>
              <w:rPr>
                <w:sz w:val="18"/>
              </w:rPr>
            </w:pPr>
          </w:p>
        </w:tc>
        <w:tc>
          <w:tcPr>
            <w:tcW w:w="900" w:type="dxa"/>
            <w:vAlign w:val="center"/>
          </w:tcPr>
          <w:p w:rsidR="00135297" w:rsidRDefault="00135297" w:rsidP="00135297">
            <w:pPr>
              <w:keepNext/>
              <w:rPr>
                <w:sz w:val="18"/>
              </w:rPr>
            </w:pPr>
            <w:r>
              <w:rPr>
                <w:sz w:val="18"/>
              </w:rPr>
              <w:t>235/2004</w:t>
            </w:r>
          </w:p>
        </w:tc>
        <w:tc>
          <w:tcPr>
            <w:tcW w:w="12960" w:type="dxa"/>
            <w:vAlign w:val="center"/>
          </w:tcPr>
          <w:p w:rsidR="00135297" w:rsidRDefault="00135297" w:rsidP="00135297">
            <w:pPr>
              <w:keepNext/>
              <w:rPr>
                <w:sz w:val="18"/>
              </w:rPr>
            </w:pPr>
            <w:r>
              <w:rPr>
                <w:sz w:val="18"/>
              </w:rPr>
              <w:t>Zákon č. 235/2004 Sb., o dani z přidané hodnoty</w:t>
            </w:r>
          </w:p>
        </w:tc>
        <w:tc>
          <w:tcPr>
            <w:tcW w:w="1440" w:type="dxa"/>
            <w:vAlign w:val="center"/>
          </w:tcPr>
          <w:p w:rsidR="00135297" w:rsidRDefault="00135297" w:rsidP="00135297">
            <w:pPr>
              <w:keepNext/>
              <w:rPr>
                <w:sz w:val="18"/>
              </w:rPr>
            </w:pPr>
            <w:r>
              <w:rPr>
                <w:sz w:val="18"/>
              </w:rPr>
              <w:t>01.05.2004</w:t>
            </w:r>
          </w:p>
        </w:tc>
      </w:tr>
      <w:tr w:rsidR="00135297" w:rsidTr="00C24BA2">
        <w:tc>
          <w:tcPr>
            <w:tcW w:w="540" w:type="dxa"/>
          </w:tcPr>
          <w:p w:rsidR="00135297" w:rsidRDefault="00135297">
            <w:pPr>
              <w:numPr>
                <w:ilvl w:val="0"/>
                <w:numId w:val="5"/>
              </w:numPr>
              <w:ind w:left="0" w:firstLine="0"/>
              <w:rPr>
                <w:sz w:val="18"/>
              </w:rPr>
            </w:pPr>
          </w:p>
        </w:tc>
        <w:tc>
          <w:tcPr>
            <w:tcW w:w="900" w:type="dxa"/>
            <w:vAlign w:val="center"/>
          </w:tcPr>
          <w:p w:rsidR="00135297" w:rsidRDefault="00135297">
            <w:pPr>
              <w:rPr>
                <w:sz w:val="18"/>
              </w:rPr>
            </w:pPr>
            <w:r>
              <w:rPr>
                <w:sz w:val="18"/>
              </w:rPr>
              <w:t>489/2009</w:t>
            </w:r>
          </w:p>
        </w:tc>
        <w:tc>
          <w:tcPr>
            <w:tcW w:w="12960" w:type="dxa"/>
            <w:vAlign w:val="center"/>
          </w:tcPr>
          <w:p w:rsidR="00135297" w:rsidRDefault="00135297">
            <w:pPr>
              <w:rPr>
                <w:sz w:val="18"/>
              </w:rPr>
            </w:pPr>
            <w:r>
              <w:rPr>
                <w:sz w:val="18"/>
              </w:rPr>
              <w:t>Zákon č. 489/2009 Sb., kterým se mění zákon č. 235/2004 Sb., o dani z přidané hodnoty, ve znění pozdějších předpisů</w:t>
            </w:r>
          </w:p>
        </w:tc>
        <w:tc>
          <w:tcPr>
            <w:tcW w:w="1440" w:type="dxa"/>
          </w:tcPr>
          <w:p w:rsidR="00135297" w:rsidRDefault="00135297">
            <w:pPr>
              <w:rPr>
                <w:sz w:val="18"/>
              </w:rPr>
            </w:pPr>
            <w:r>
              <w:rPr>
                <w:sz w:val="18"/>
              </w:rPr>
              <w:t>01.01.2010</w:t>
            </w:r>
          </w:p>
        </w:tc>
      </w:tr>
      <w:tr w:rsidR="00135297" w:rsidTr="00C24BA2">
        <w:tc>
          <w:tcPr>
            <w:tcW w:w="540" w:type="dxa"/>
          </w:tcPr>
          <w:p w:rsidR="00135297" w:rsidRDefault="00135297">
            <w:pPr>
              <w:numPr>
                <w:ilvl w:val="0"/>
                <w:numId w:val="5"/>
              </w:numPr>
              <w:ind w:left="0" w:firstLine="0"/>
              <w:rPr>
                <w:sz w:val="18"/>
              </w:rPr>
            </w:pPr>
          </w:p>
        </w:tc>
        <w:tc>
          <w:tcPr>
            <w:tcW w:w="900" w:type="dxa"/>
            <w:vAlign w:val="center"/>
          </w:tcPr>
          <w:p w:rsidR="00135297" w:rsidRDefault="00135297">
            <w:pPr>
              <w:rPr>
                <w:sz w:val="18"/>
              </w:rPr>
            </w:pPr>
            <w:r>
              <w:rPr>
                <w:sz w:val="18"/>
              </w:rPr>
              <w:t>502/2012</w:t>
            </w:r>
          </w:p>
        </w:tc>
        <w:tc>
          <w:tcPr>
            <w:tcW w:w="12960" w:type="dxa"/>
            <w:vAlign w:val="center"/>
          </w:tcPr>
          <w:p w:rsidR="00135297" w:rsidRDefault="00135297">
            <w:pPr>
              <w:rPr>
                <w:sz w:val="18"/>
              </w:rPr>
            </w:pPr>
            <w:r>
              <w:rPr>
                <w:sz w:val="18"/>
              </w:rPr>
              <w:t>Zákon č. 502/2012 Sb., kterým se mění zákon č. 235/2004 Sb., o dani z přidané hodnoty, ve znění pozdějších předpisů, a další související zákony</w:t>
            </w:r>
          </w:p>
        </w:tc>
        <w:tc>
          <w:tcPr>
            <w:tcW w:w="1440" w:type="dxa"/>
          </w:tcPr>
          <w:p w:rsidR="00135297" w:rsidRDefault="00135297">
            <w:pPr>
              <w:rPr>
                <w:sz w:val="18"/>
              </w:rPr>
            </w:pPr>
            <w:r>
              <w:rPr>
                <w:sz w:val="18"/>
              </w:rPr>
              <w:t>01.01.2013</w:t>
            </w:r>
          </w:p>
        </w:tc>
      </w:tr>
      <w:tr w:rsidR="00135297">
        <w:tc>
          <w:tcPr>
            <w:tcW w:w="540" w:type="dxa"/>
          </w:tcPr>
          <w:p w:rsidR="00135297" w:rsidRDefault="00135297">
            <w:pPr>
              <w:numPr>
                <w:ilvl w:val="0"/>
                <w:numId w:val="5"/>
              </w:numPr>
              <w:ind w:left="0" w:firstLine="0"/>
              <w:rPr>
                <w:sz w:val="18"/>
              </w:rPr>
            </w:pPr>
          </w:p>
        </w:tc>
        <w:tc>
          <w:tcPr>
            <w:tcW w:w="900" w:type="dxa"/>
          </w:tcPr>
          <w:p w:rsidR="00135297" w:rsidRDefault="00135297">
            <w:pPr>
              <w:rPr>
                <w:sz w:val="18"/>
              </w:rPr>
            </w:pPr>
            <w:r>
              <w:rPr>
                <w:sz w:val="18"/>
              </w:rPr>
              <w:t>344/2013</w:t>
            </w:r>
          </w:p>
        </w:tc>
        <w:tc>
          <w:tcPr>
            <w:tcW w:w="12960" w:type="dxa"/>
          </w:tcPr>
          <w:p w:rsidR="00135297" w:rsidRDefault="00135297">
            <w:pPr>
              <w:rPr>
                <w:sz w:val="18"/>
              </w:rPr>
            </w:pPr>
            <w:r>
              <w:rPr>
                <w:sz w:val="18"/>
              </w:rPr>
              <w:t>Zákonné opatření Senátu č. 344/2013 Sb., o změně daňových zákonů v souvislosti s rekodifikací soukromého práva a o změně některých zákonů</w:t>
            </w:r>
          </w:p>
        </w:tc>
        <w:tc>
          <w:tcPr>
            <w:tcW w:w="1440" w:type="dxa"/>
          </w:tcPr>
          <w:p w:rsidR="00135297" w:rsidRDefault="00135297">
            <w:pPr>
              <w:rPr>
                <w:sz w:val="18"/>
              </w:rPr>
            </w:pPr>
            <w:r>
              <w:rPr>
                <w:sz w:val="18"/>
              </w:rPr>
              <w:t>01.01.2014</w:t>
            </w:r>
          </w:p>
        </w:tc>
      </w:tr>
      <w:tr w:rsidR="00135297">
        <w:tc>
          <w:tcPr>
            <w:tcW w:w="540" w:type="dxa"/>
          </w:tcPr>
          <w:p w:rsidR="00135297" w:rsidRDefault="00135297">
            <w:pPr>
              <w:numPr>
                <w:ilvl w:val="0"/>
                <w:numId w:val="5"/>
              </w:numPr>
              <w:ind w:left="0" w:firstLine="0"/>
              <w:rPr>
                <w:sz w:val="18"/>
              </w:rPr>
            </w:pPr>
          </w:p>
        </w:tc>
        <w:tc>
          <w:tcPr>
            <w:tcW w:w="900" w:type="dxa"/>
          </w:tcPr>
          <w:p w:rsidR="00135297" w:rsidRDefault="00135297">
            <w:pPr>
              <w:rPr>
                <w:sz w:val="18"/>
              </w:rPr>
            </w:pPr>
            <w:r>
              <w:rPr>
                <w:sz w:val="18"/>
              </w:rPr>
              <w:t>196/2014</w:t>
            </w:r>
          </w:p>
        </w:tc>
        <w:tc>
          <w:tcPr>
            <w:tcW w:w="12960" w:type="dxa"/>
          </w:tcPr>
          <w:p w:rsidR="00135297" w:rsidRDefault="00135297">
            <w:pPr>
              <w:rPr>
                <w:sz w:val="18"/>
              </w:rPr>
            </w:pPr>
            <w:r>
              <w:rPr>
                <w:sz w:val="18"/>
              </w:rPr>
              <w:t>Zákon č. 196/2014 Sb., kterým se mění zákon č. 235/2004 Sb., o dani z přidané hodnoty, ve znění pozdějších předpisů</w:t>
            </w:r>
          </w:p>
        </w:tc>
        <w:tc>
          <w:tcPr>
            <w:tcW w:w="1440" w:type="dxa"/>
          </w:tcPr>
          <w:p w:rsidR="00135297" w:rsidRDefault="00135297">
            <w:pPr>
              <w:rPr>
                <w:sz w:val="18"/>
              </w:rPr>
            </w:pPr>
            <w:r>
              <w:rPr>
                <w:sz w:val="18"/>
              </w:rPr>
              <w:t>01.01.2015</w:t>
            </w:r>
          </w:p>
        </w:tc>
      </w:tr>
      <w:tr w:rsidR="00073D32" w:rsidTr="001406BF">
        <w:tc>
          <w:tcPr>
            <w:tcW w:w="540" w:type="dxa"/>
          </w:tcPr>
          <w:p w:rsidR="00073D32" w:rsidRDefault="00073D32">
            <w:pPr>
              <w:numPr>
                <w:ilvl w:val="0"/>
                <w:numId w:val="5"/>
              </w:numPr>
              <w:ind w:left="0" w:firstLine="0"/>
              <w:rPr>
                <w:sz w:val="18"/>
              </w:rPr>
            </w:pPr>
          </w:p>
        </w:tc>
        <w:tc>
          <w:tcPr>
            <w:tcW w:w="900" w:type="dxa"/>
            <w:vAlign w:val="center"/>
          </w:tcPr>
          <w:p w:rsidR="00073D32" w:rsidRDefault="00073D32">
            <w:pPr>
              <w:rPr>
                <w:sz w:val="18"/>
              </w:rPr>
            </w:pPr>
            <w:r>
              <w:rPr>
                <w:sz w:val="18"/>
              </w:rPr>
              <w:t>360/2014</w:t>
            </w:r>
          </w:p>
        </w:tc>
        <w:tc>
          <w:tcPr>
            <w:tcW w:w="12960" w:type="dxa"/>
            <w:vAlign w:val="center"/>
          </w:tcPr>
          <w:p w:rsidR="00073D32" w:rsidRDefault="00073D32">
            <w:pPr>
              <w:rPr>
                <w:sz w:val="18"/>
              </w:rPr>
            </w:pPr>
            <w:r>
              <w:rPr>
                <w:sz w:val="18"/>
              </w:rPr>
              <w:t>Zákon č. 360/2014 Sb., kterým se mění zákon č. 235/2004 Sb., o dani z přidané hodnoty, ve znění pozdějších předpisů, a další související zákony</w:t>
            </w:r>
          </w:p>
        </w:tc>
        <w:tc>
          <w:tcPr>
            <w:tcW w:w="1440" w:type="dxa"/>
            <w:vAlign w:val="center"/>
          </w:tcPr>
          <w:p w:rsidR="00073D32" w:rsidRDefault="00073D32" w:rsidP="00073D32">
            <w:pPr>
              <w:rPr>
                <w:sz w:val="18"/>
              </w:rPr>
            </w:pPr>
            <w:r>
              <w:rPr>
                <w:sz w:val="18"/>
              </w:rPr>
              <w:t>01.01.2015</w:t>
            </w:r>
          </w:p>
        </w:tc>
      </w:tr>
      <w:tr w:rsidR="00073D32" w:rsidTr="00ED6D7F">
        <w:tc>
          <w:tcPr>
            <w:tcW w:w="540" w:type="dxa"/>
          </w:tcPr>
          <w:p w:rsidR="00073D32" w:rsidRDefault="00073D32">
            <w:pPr>
              <w:numPr>
                <w:ilvl w:val="0"/>
                <w:numId w:val="5"/>
              </w:numPr>
              <w:ind w:left="0" w:firstLine="0"/>
              <w:rPr>
                <w:sz w:val="18"/>
              </w:rPr>
            </w:pPr>
          </w:p>
        </w:tc>
        <w:tc>
          <w:tcPr>
            <w:tcW w:w="900" w:type="dxa"/>
          </w:tcPr>
          <w:p w:rsidR="00073D32" w:rsidRDefault="00073D32" w:rsidP="005602F7">
            <w:pPr>
              <w:rPr>
                <w:sz w:val="18"/>
              </w:rPr>
            </w:pPr>
            <w:r>
              <w:rPr>
                <w:sz w:val="18"/>
              </w:rPr>
              <w:t>80/2019</w:t>
            </w:r>
          </w:p>
        </w:tc>
        <w:tc>
          <w:tcPr>
            <w:tcW w:w="12960" w:type="dxa"/>
          </w:tcPr>
          <w:p w:rsidR="00073D32" w:rsidRDefault="00073D32" w:rsidP="005602F7">
            <w:pPr>
              <w:rPr>
                <w:sz w:val="18"/>
              </w:rPr>
            </w:pPr>
            <w:r>
              <w:rPr>
                <w:rFonts w:ascii="StempelGaramondLTPro-Roman" w:hAnsi="StempelGaramondLTPro-Roman"/>
                <w:color w:val="000000"/>
                <w:sz w:val="18"/>
                <w:szCs w:val="18"/>
              </w:rPr>
              <w:t>Zákon</w:t>
            </w:r>
            <w:r w:rsidR="0025316C">
              <w:rPr>
                <w:rFonts w:ascii="StempelGaramondLTPro-Roman" w:hAnsi="StempelGaramondLTPro-Roman"/>
                <w:color w:val="000000"/>
                <w:sz w:val="18"/>
                <w:szCs w:val="18"/>
              </w:rPr>
              <w:t xml:space="preserve"> č. 80/2019 Sb.</w:t>
            </w:r>
            <w:r>
              <w:rPr>
                <w:rFonts w:ascii="StempelGaramondLTPro-Roman" w:hAnsi="StempelGaramondLTPro-Roman"/>
                <w:color w:val="000000"/>
                <w:sz w:val="18"/>
                <w:szCs w:val="18"/>
              </w:rPr>
              <w:t>, kterým se m</w:t>
            </w:r>
            <w:r>
              <w:rPr>
                <w:rFonts w:ascii="StempelGaramondLTPro-Roman+01" w:hAnsi="StempelGaramondLTPro-Roman+01"/>
                <w:color w:val="000000"/>
                <w:sz w:val="18"/>
                <w:szCs w:val="18"/>
              </w:rPr>
              <w:t>ě</w:t>
            </w:r>
            <w:r>
              <w:rPr>
                <w:rFonts w:ascii="StempelGaramondLTPro-Roman" w:hAnsi="StempelGaramondLTPro-Roman"/>
                <w:color w:val="000000"/>
                <w:sz w:val="18"/>
                <w:szCs w:val="18"/>
              </w:rPr>
              <w:t>ní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zákony v oblasti daní a n</w:t>
            </w:r>
            <w:r>
              <w:rPr>
                <w:rFonts w:ascii="StempelGaramondLTPro-Roman+01" w:hAnsi="StempelGaramondLTPro-Roman+01"/>
                <w:color w:val="000000"/>
                <w:sz w:val="18"/>
                <w:szCs w:val="18"/>
              </w:rPr>
              <w:t>ě</w:t>
            </w:r>
            <w:r>
              <w:rPr>
                <w:rFonts w:ascii="StempelGaramondLTPro-Roman" w:hAnsi="StempelGaramondLTPro-Roman"/>
                <w:color w:val="000000"/>
                <w:sz w:val="18"/>
                <w:szCs w:val="18"/>
              </w:rPr>
              <w:t>které dal</w:t>
            </w:r>
            <w:r>
              <w:rPr>
                <w:rFonts w:ascii="StempelGaramondLTPro-Roman+01" w:hAnsi="StempelGaramondLTPro-Roman+01"/>
                <w:color w:val="000000"/>
                <w:sz w:val="18"/>
                <w:szCs w:val="18"/>
              </w:rPr>
              <w:t>š</w:t>
            </w:r>
            <w:r>
              <w:rPr>
                <w:rFonts w:ascii="StempelGaramondLTPro-Roman" w:hAnsi="StempelGaramondLTPro-Roman"/>
                <w:color w:val="000000"/>
                <w:sz w:val="18"/>
                <w:szCs w:val="18"/>
              </w:rPr>
              <w:t>í zákony</w:t>
            </w:r>
          </w:p>
        </w:tc>
        <w:tc>
          <w:tcPr>
            <w:tcW w:w="1440" w:type="dxa"/>
          </w:tcPr>
          <w:p w:rsidR="00073D32" w:rsidRDefault="00073D32" w:rsidP="00AC4091">
            <w:pPr>
              <w:rPr>
                <w:sz w:val="18"/>
              </w:rPr>
            </w:pPr>
            <w:r>
              <w:rPr>
                <w:sz w:val="18"/>
              </w:rPr>
              <w:t>27.03.2019</w:t>
            </w:r>
            <w:r w:rsidR="001B6BFC">
              <w:rPr>
                <w:sz w:val="18"/>
              </w:rPr>
              <w:t xml:space="preserve"> </w:t>
            </w:r>
          </w:p>
        </w:tc>
      </w:tr>
      <w:tr w:rsidR="00775862" w:rsidTr="00F018D6">
        <w:tc>
          <w:tcPr>
            <w:tcW w:w="540" w:type="dxa"/>
          </w:tcPr>
          <w:p w:rsidR="00775862" w:rsidRDefault="00775862">
            <w:pPr>
              <w:numPr>
                <w:ilvl w:val="0"/>
                <w:numId w:val="5"/>
              </w:numPr>
              <w:ind w:left="0" w:firstLine="0"/>
              <w:rPr>
                <w:sz w:val="18"/>
              </w:rPr>
            </w:pPr>
          </w:p>
        </w:tc>
        <w:tc>
          <w:tcPr>
            <w:tcW w:w="900" w:type="dxa"/>
            <w:vAlign w:val="center"/>
          </w:tcPr>
          <w:p w:rsidR="00775862" w:rsidRDefault="00775862" w:rsidP="00F018D6">
            <w:pPr>
              <w:rPr>
                <w:sz w:val="18"/>
              </w:rPr>
            </w:pPr>
            <w:r w:rsidRPr="0069157E">
              <w:rPr>
                <w:sz w:val="18"/>
              </w:rPr>
              <w:t>343/2020</w:t>
            </w:r>
          </w:p>
        </w:tc>
        <w:tc>
          <w:tcPr>
            <w:tcW w:w="12960" w:type="dxa"/>
            <w:vAlign w:val="center"/>
          </w:tcPr>
          <w:p w:rsidR="00775862" w:rsidRPr="00F17004" w:rsidRDefault="00775862" w:rsidP="00F018D6">
            <w:pPr>
              <w:rPr>
                <w:sz w:val="18"/>
                <w:highlight w:val="yellow"/>
              </w:rPr>
            </w:pPr>
            <w:r w:rsidRPr="00152FCD">
              <w:rPr>
                <w:sz w:val="18"/>
              </w:rPr>
              <w:t>Zákon č. 343/2020 Sb., kterým se mění některé zákony v souvislosti s implementací daňových předpisů Evropské unie a v oblasti zamezení dvojímu zdanění</w:t>
            </w:r>
          </w:p>
        </w:tc>
        <w:tc>
          <w:tcPr>
            <w:tcW w:w="1440" w:type="dxa"/>
            <w:vAlign w:val="center"/>
          </w:tcPr>
          <w:p w:rsidR="00775862" w:rsidRPr="00A27B11" w:rsidRDefault="00775862" w:rsidP="00F018D6">
            <w:pPr>
              <w:rPr>
                <w:sz w:val="18"/>
              </w:rPr>
            </w:pPr>
            <w:r w:rsidRPr="00A27B11">
              <w:rPr>
                <w:sz w:val="18"/>
              </w:rPr>
              <w:t>01.09.2020</w:t>
            </w:r>
          </w:p>
        </w:tc>
      </w:tr>
    </w:tbl>
    <w:p w:rsidR="008D66F0" w:rsidRDefault="008D66F0">
      <w:pPr>
        <w:rPr>
          <w:sz w:val="18"/>
        </w:rPr>
      </w:pPr>
    </w:p>
    <w:p w:rsidR="008D66F0" w:rsidRDefault="008D66F0">
      <w:pPr>
        <w:rPr>
          <w:sz w:val="18"/>
        </w:rPr>
      </w:pPr>
    </w:p>
    <w:p w:rsidR="008D66F0" w:rsidRDefault="008D66F0">
      <w:pPr>
        <w:ind w:left="-900"/>
        <w:rPr>
          <w:b/>
          <w:bCs/>
          <w:sz w:val="18"/>
        </w:rPr>
      </w:pPr>
      <w:r>
        <w:rPr>
          <w:b/>
          <w:bCs/>
          <w:sz w:val="18"/>
        </w:rPr>
        <w:t>2. Seznam návrhů p</w:t>
      </w:r>
      <w:r w:rsidR="00415872">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8D66F0">
        <w:tc>
          <w:tcPr>
            <w:tcW w:w="546" w:type="dxa"/>
          </w:tcPr>
          <w:p w:rsidR="008D66F0" w:rsidRDefault="008D66F0">
            <w:pPr>
              <w:spacing w:before="60" w:after="60"/>
              <w:jc w:val="center"/>
              <w:rPr>
                <w:sz w:val="16"/>
              </w:rPr>
            </w:pPr>
            <w:r>
              <w:rPr>
                <w:sz w:val="16"/>
              </w:rPr>
              <w:t>Poř.č.</w:t>
            </w:r>
          </w:p>
        </w:tc>
        <w:tc>
          <w:tcPr>
            <w:tcW w:w="910" w:type="dxa"/>
          </w:tcPr>
          <w:p w:rsidR="008D66F0" w:rsidRDefault="008D66F0">
            <w:pPr>
              <w:spacing w:before="60" w:after="60"/>
              <w:jc w:val="center"/>
              <w:rPr>
                <w:sz w:val="16"/>
              </w:rPr>
            </w:pPr>
            <w:r>
              <w:rPr>
                <w:sz w:val="16"/>
              </w:rPr>
              <w:t>Číslo ID</w:t>
            </w:r>
          </w:p>
        </w:tc>
        <w:tc>
          <w:tcPr>
            <w:tcW w:w="1092" w:type="dxa"/>
          </w:tcPr>
          <w:p w:rsidR="008D66F0" w:rsidRDefault="008D66F0">
            <w:pPr>
              <w:spacing w:before="60" w:after="60"/>
              <w:jc w:val="center"/>
              <w:rPr>
                <w:sz w:val="16"/>
              </w:rPr>
            </w:pPr>
            <w:r>
              <w:rPr>
                <w:sz w:val="16"/>
              </w:rPr>
              <w:t>Předkladatel</w:t>
            </w:r>
          </w:p>
        </w:tc>
        <w:tc>
          <w:tcPr>
            <w:tcW w:w="8921" w:type="dxa"/>
          </w:tcPr>
          <w:p w:rsidR="008D66F0" w:rsidRDefault="008D66F0">
            <w:pPr>
              <w:spacing w:before="60" w:after="60"/>
              <w:jc w:val="center"/>
              <w:rPr>
                <w:sz w:val="16"/>
              </w:rPr>
            </w:pPr>
            <w:r>
              <w:rPr>
                <w:sz w:val="16"/>
              </w:rPr>
              <w:t>Název návrhu předpisu</w:t>
            </w:r>
          </w:p>
        </w:tc>
        <w:tc>
          <w:tcPr>
            <w:tcW w:w="1457" w:type="dxa"/>
          </w:tcPr>
          <w:p w:rsidR="008D66F0" w:rsidRDefault="008D66F0">
            <w:pPr>
              <w:spacing w:before="60" w:after="60"/>
              <w:jc w:val="center"/>
              <w:rPr>
                <w:sz w:val="16"/>
              </w:rPr>
            </w:pPr>
            <w:r>
              <w:rPr>
                <w:sz w:val="16"/>
              </w:rPr>
              <w:t>Předpokládané datum zahájení přípravy / stav přípravy</w:t>
            </w:r>
          </w:p>
        </w:tc>
        <w:tc>
          <w:tcPr>
            <w:tcW w:w="1457" w:type="dxa"/>
          </w:tcPr>
          <w:p w:rsidR="008D66F0" w:rsidRDefault="008D66F0">
            <w:pPr>
              <w:spacing w:before="60" w:after="60"/>
              <w:jc w:val="center"/>
              <w:rPr>
                <w:sz w:val="16"/>
              </w:rPr>
            </w:pPr>
            <w:r>
              <w:rPr>
                <w:sz w:val="16"/>
              </w:rPr>
              <w:t xml:space="preserve">Předpokládané datum předložení vládě </w:t>
            </w:r>
          </w:p>
        </w:tc>
        <w:tc>
          <w:tcPr>
            <w:tcW w:w="1457" w:type="dxa"/>
          </w:tcPr>
          <w:p w:rsidR="008D66F0" w:rsidRDefault="008D66F0">
            <w:pPr>
              <w:spacing w:before="60" w:after="60"/>
              <w:jc w:val="center"/>
              <w:rPr>
                <w:sz w:val="16"/>
              </w:rPr>
            </w:pPr>
            <w:r>
              <w:rPr>
                <w:sz w:val="16"/>
              </w:rPr>
              <w:t>Předpokládané datum nabytí účinnosti</w:t>
            </w:r>
          </w:p>
        </w:tc>
      </w:tr>
      <w:tr w:rsidR="00B3098C">
        <w:tc>
          <w:tcPr>
            <w:tcW w:w="546" w:type="dxa"/>
          </w:tcPr>
          <w:p w:rsidR="00B3098C" w:rsidRDefault="00B3098C" w:rsidP="00B3098C">
            <w:pPr>
              <w:numPr>
                <w:ilvl w:val="0"/>
                <w:numId w:val="4"/>
              </w:numPr>
              <w:ind w:left="0" w:firstLine="0"/>
              <w:rPr>
                <w:sz w:val="18"/>
              </w:rPr>
            </w:pPr>
          </w:p>
        </w:tc>
        <w:tc>
          <w:tcPr>
            <w:tcW w:w="910" w:type="dxa"/>
          </w:tcPr>
          <w:p w:rsidR="00B3098C" w:rsidRDefault="00B3098C" w:rsidP="00B3098C">
            <w:pPr>
              <w:rPr>
                <w:sz w:val="18"/>
              </w:rPr>
            </w:pPr>
            <w:r w:rsidRPr="00636E4B">
              <w:rPr>
                <w:sz w:val="18"/>
                <w:szCs w:val="18"/>
              </w:rPr>
              <w:t>10164</w:t>
            </w:r>
          </w:p>
        </w:tc>
        <w:tc>
          <w:tcPr>
            <w:tcW w:w="1092" w:type="dxa"/>
          </w:tcPr>
          <w:p w:rsidR="00B3098C" w:rsidRPr="00636E4B" w:rsidRDefault="00B3098C" w:rsidP="00B3098C">
            <w:pPr>
              <w:rPr>
                <w:sz w:val="18"/>
                <w:szCs w:val="18"/>
              </w:rPr>
            </w:pPr>
            <w:r w:rsidRPr="00636E4B">
              <w:rPr>
                <w:sz w:val="18"/>
                <w:szCs w:val="18"/>
              </w:rPr>
              <w:t>MF</w:t>
            </w:r>
          </w:p>
        </w:tc>
        <w:tc>
          <w:tcPr>
            <w:tcW w:w="8921" w:type="dxa"/>
          </w:tcPr>
          <w:p w:rsidR="00B3098C" w:rsidRPr="00636E4B" w:rsidRDefault="00B3098C" w:rsidP="00B3098C">
            <w:pPr>
              <w:rPr>
                <w:sz w:val="18"/>
                <w:szCs w:val="18"/>
              </w:rPr>
            </w:pPr>
            <w:r w:rsidRPr="00636E4B">
              <w:rPr>
                <w:sz w:val="18"/>
                <w:szCs w:val="18"/>
              </w:rPr>
              <w:t>Návrh zákona, kterým se mění zákon č. 235/2004 Sb., o dani z přidané hodnoty, ve znění pozdějších předpisů</w:t>
            </w:r>
          </w:p>
        </w:tc>
        <w:tc>
          <w:tcPr>
            <w:tcW w:w="1457" w:type="dxa"/>
          </w:tcPr>
          <w:p w:rsidR="00B3098C" w:rsidRPr="00636E4B" w:rsidRDefault="00B3098C" w:rsidP="00B3098C">
            <w:pPr>
              <w:jc w:val="center"/>
              <w:rPr>
                <w:sz w:val="18"/>
                <w:szCs w:val="18"/>
              </w:rPr>
            </w:pPr>
            <w:r>
              <w:rPr>
                <w:sz w:val="18"/>
                <w:szCs w:val="18"/>
              </w:rPr>
              <w:t>zahájena příprava</w:t>
            </w:r>
          </w:p>
        </w:tc>
        <w:tc>
          <w:tcPr>
            <w:tcW w:w="1457" w:type="dxa"/>
          </w:tcPr>
          <w:p w:rsidR="00B3098C" w:rsidRPr="00636E4B" w:rsidRDefault="00B3098C" w:rsidP="00B3098C">
            <w:pPr>
              <w:jc w:val="center"/>
              <w:rPr>
                <w:sz w:val="18"/>
                <w:szCs w:val="18"/>
              </w:rPr>
            </w:pPr>
            <w:r>
              <w:rPr>
                <w:sz w:val="18"/>
                <w:szCs w:val="18"/>
              </w:rPr>
              <w:t>únor 2024</w:t>
            </w:r>
          </w:p>
        </w:tc>
        <w:tc>
          <w:tcPr>
            <w:tcW w:w="1457" w:type="dxa"/>
          </w:tcPr>
          <w:p w:rsidR="00B3098C" w:rsidRPr="00636E4B" w:rsidRDefault="00B3098C" w:rsidP="00B3098C">
            <w:pPr>
              <w:jc w:val="center"/>
              <w:rPr>
                <w:sz w:val="18"/>
                <w:szCs w:val="18"/>
              </w:rPr>
            </w:pPr>
            <w:r>
              <w:rPr>
                <w:sz w:val="18"/>
                <w:szCs w:val="18"/>
              </w:rPr>
              <w:t>1. ledna 2025</w:t>
            </w:r>
          </w:p>
        </w:tc>
      </w:tr>
    </w:tbl>
    <w:p w:rsidR="008D66F0" w:rsidRDefault="008D66F0">
      <w:pPr>
        <w:rPr>
          <w:sz w:val="18"/>
        </w:rPr>
      </w:pPr>
    </w:p>
    <w:p w:rsidR="008D66F0" w:rsidRDefault="008D66F0">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8D66F0">
        <w:tc>
          <w:tcPr>
            <w:tcW w:w="540" w:type="dxa"/>
          </w:tcPr>
          <w:p w:rsidR="008D66F0" w:rsidRDefault="008D66F0">
            <w:pPr>
              <w:jc w:val="center"/>
              <w:rPr>
                <w:sz w:val="16"/>
              </w:rPr>
            </w:pPr>
            <w:r>
              <w:rPr>
                <w:sz w:val="16"/>
              </w:rPr>
              <w:t>Poř.č.</w:t>
            </w:r>
          </w:p>
        </w:tc>
        <w:tc>
          <w:tcPr>
            <w:tcW w:w="15300" w:type="dxa"/>
          </w:tcPr>
          <w:p w:rsidR="008D66F0" w:rsidRDefault="008D66F0">
            <w:pPr>
              <w:jc w:val="center"/>
              <w:rPr>
                <w:sz w:val="16"/>
              </w:rPr>
            </w:pPr>
            <w:r>
              <w:rPr>
                <w:sz w:val="16"/>
              </w:rPr>
              <w:t>Text poznámky</w:t>
            </w:r>
          </w:p>
        </w:tc>
      </w:tr>
    </w:tbl>
    <w:p w:rsidR="008D66F0" w:rsidRDefault="008D66F0">
      <w:pPr>
        <w:pStyle w:val="Zpat"/>
        <w:tabs>
          <w:tab w:val="clear" w:pos="4536"/>
          <w:tab w:val="clear" w:pos="9072"/>
        </w:tabs>
      </w:pPr>
    </w:p>
    <w:sectPr w:rsidR="008D66F0">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459" w:bottom="851"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99A" w:rsidRDefault="00B7299A">
      <w:r>
        <w:separator/>
      </w:r>
    </w:p>
  </w:endnote>
  <w:endnote w:type="continuationSeparator" w:id="0">
    <w:p w:rsidR="00B7299A" w:rsidRDefault="00B7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tempelGaramondLTPro-Roman">
    <w:altName w:val="Times New Roman"/>
    <w:panose1 w:val="00000000000000000000"/>
    <w:charset w:val="00"/>
    <w:family w:val="roman"/>
    <w:notTrueType/>
    <w:pitch w:val="default"/>
    <w:sig w:usb0="00000005" w:usb1="00000000" w:usb2="00000000" w:usb3="00000000" w:csb0="00000002" w:csb1="00000000"/>
  </w:font>
  <w:font w:name="StempelGaramondLTPro-Roman+01">
    <w:altName w:val="Times New Roman"/>
    <w:panose1 w:val="00000000000000000000"/>
    <w:charset w:val="00"/>
    <w:family w:val="roman"/>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ECA" w:rsidRDefault="00D60EC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D6" w:rsidRDefault="00F018D6">
    <w:pPr>
      <w:ind w:left="-900"/>
      <w:rPr>
        <w:sz w:val="16"/>
      </w:rPr>
    </w:pPr>
    <w:r>
      <w:rPr>
        <w:sz w:val="16"/>
      </w:rPr>
      <w:t xml:space="preserve">*/ použijte zkratky :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32011R0282_200817</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D60ECA">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D60ECA">
      <w:rPr>
        <w:rStyle w:val="slostrnky"/>
        <w:noProof/>
        <w:sz w:val="18"/>
      </w:rPr>
      <w:t>19</w:t>
    </w:r>
    <w:r>
      <w:rPr>
        <w:rStyle w:val="slostrnky"/>
        <w:sz w:val="18"/>
      </w:rPr>
      <w:fldChar w:fldCharType="end"/>
    </w:r>
    <w:r>
      <w:rPr>
        <w:rStyle w:val="slostrnky"/>
        <w:snapToGrid w:val="0"/>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ECA" w:rsidRDefault="00D60E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99A" w:rsidRDefault="00B7299A">
      <w:r>
        <w:separator/>
      </w:r>
    </w:p>
  </w:footnote>
  <w:footnote w:type="continuationSeparator" w:id="0">
    <w:p w:rsidR="00B7299A" w:rsidRDefault="00B7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ECA" w:rsidRDefault="00D60EC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8D6" w:rsidRDefault="00D60ECA">
    <w:pPr>
      <w:pStyle w:val="Zhlav"/>
      <w:jc w:val="center"/>
      <w:rPr>
        <w:sz w:val="20"/>
      </w:rPr>
    </w:pPr>
    <w:r>
      <w:rPr>
        <w:sz w:val="20"/>
      </w:rPr>
      <w:tab/>
    </w:r>
    <w:r w:rsidR="00F018D6">
      <w:rPr>
        <w:sz w:val="20"/>
      </w:rPr>
      <w:t>Srovnávací tabulka</w:t>
    </w:r>
    <w:r w:rsidR="00F018D6">
      <w:rPr>
        <w:rStyle w:val="slostrnky"/>
        <w:snapToGrid w:val="0"/>
        <w:sz w:val="20"/>
      </w:rPr>
      <w:t xml:space="preserve"> pro posouzení implementace předpisu Evropské unie </w:t>
    </w:r>
    <w:r w:rsidR="00F018D6">
      <w:rPr>
        <w:rStyle w:val="slostrnky"/>
        <w:snapToGrid w:val="0"/>
        <w:sz w:val="16"/>
      </w:rPr>
      <w:t xml:space="preserve">                                                            </w:t>
    </w:r>
    <w:r>
      <w:rPr>
        <w:rStyle w:val="slostrnky"/>
        <w:snapToGrid w:val="0"/>
        <w:sz w:val="16"/>
      </w:rPr>
      <w:tab/>
    </w:r>
    <w:r w:rsidR="00F018D6">
      <w:rPr>
        <w:rStyle w:val="slostrnky"/>
        <w:snapToGrid w:val="0"/>
        <w:sz w:val="16"/>
      </w:rPr>
      <w:t xml:space="preserve">         </w:t>
    </w:r>
    <w:r w:rsidRPr="00AC7D24">
      <w:rPr>
        <w:rStyle w:val="slostrnky"/>
        <w:b/>
        <w:snapToGrid w:val="0"/>
        <w:sz w:val="16"/>
      </w:rPr>
      <w:t xml:space="preserve">VII   - </w:t>
    </w:r>
    <w:r>
      <w:rPr>
        <w:rStyle w:val="slostrnky"/>
        <w:b/>
        <w:snapToGrid w:val="0"/>
        <w:sz w:val="16"/>
      </w:rPr>
      <w:t>8</w:t>
    </w:r>
    <w:bookmarkStart w:id="0" w:name="_GoBack"/>
    <w:bookmarkEnd w:id="0"/>
    <w:r w:rsidRPr="00AC7D24">
      <w:rPr>
        <w:rStyle w:val="slostrnky"/>
        <w:b/>
        <w:snapToGrid w:val="0"/>
        <w:sz w:val="16"/>
      </w:rPr>
      <w:t>. část</w:t>
    </w:r>
    <w:r>
      <w:rPr>
        <w:rStyle w:val="slostrnky"/>
        <w:snapToGrid w:val="0"/>
        <w:sz w:val="16"/>
      </w:rPr>
      <w:t xml:space="preserve">            </w:t>
    </w:r>
    <w:r w:rsidR="00F018D6">
      <w:rPr>
        <w:rStyle w:val="slostrnky"/>
        <w:snapToGrid w:val="0"/>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ECA" w:rsidRDefault="00D60EC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F5319"/>
    <w:multiLevelType w:val="hybridMultilevel"/>
    <w:tmpl w:val="0DB2A3CA"/>
    <w:lvl w:ilvl="0" w:tplc="A06A8376">
      <w:start w:val="1"/>
      <w:numFmt w:val="decimal"/>
      <w:lvlText w:val="%1."/>
      <w:lvlJc w:val="left"/>
      <w:pPr>
        <w:tabs>
          <w:tab w:val="num" w:pos="720"/>
        </w:tabs>
        <w:ind w:left="720" w:hanging="360"/>
      </w:pPr>
      <w:rPr>
        <w:rFonts w:hint="default"/>
      </w:rPr>
    </w:lvl>
    <w:lvl w:ilvl="1" w:tplc="D32A8E38" w:tentative="1">
      <w:start w:val="1"/>
      <w:numFmt w:val="lowerLetter"/>
      <w:lvlText w:val="%2."/>
      <w:lvlJc w:val="left"/>
      <w:pPr>
        <w:tabs>
          <w:tab w:val="num" w:pos="1440"/>
        </w:tabs>
        <w:ind w:left="1440" w:hanging="360"/>
      </w:pPr>
    </w:lvl>
    <w:lvl w:ilvl="2" w:tplc="8F648B14" w:tentative="1">
      <w:start w:val="1"/>
      <w:numFmt w:val="lowerRoman"/>
      <w:lvlText w:val="%3."/>
      <w:lvlJc w:val="right"/>
      <w:pPr>
        <w:tabs>
          <w:tab w:val="num" w:pos="2160"/>
        </w:tabs>
        <w:ind w:left="2160" w:hanging="180"/>
      </w:pPr>
    </w:lvl>
    <w:lvl w:ilvl="3" w:tplc="F22058EE" w:tentative="1">
      <w:start w:val="1"/>
      <w:numFmt w:val="decimal"/>
      <w:lvlText w:val="%4."/>
      <w:lvlJc w:val="left"/>
      <w:pPr>
        <w:tabs>
          <w:tab w:val="num" w:pos="2880"/>
        </w:tabs>
        <w:ind w:left="2880" w:hanging="360"/>
      </w:pPr>
    </w:lvl>
    <w:lvl w:ilvl="4" w:tplc="F842BD1A" w:tentative="1">
      <w:start w:val="1"/>
      <w:numFmt w:val="lowerLetter"/>
      <w:lvlText w:val="%5."/>
      <w:lvlJc w:val="left"/>
      <w:pPr>
        <w:tabs>
          <w:tab w:val="num" w:pos="3600"/>
        </w:tabs>
        <w:ind w:left="3600" w:hanging="360"/>
      </w:pPr>
    </w:lvl>
    <w:lvl w:ilvl="5" w:tplc="1AA8E58E" w:tentative="1">
      <w:start w:val="1"/>
      <w:numFmt w:val="lowerRoman"/>
      <w:lvlText w:val="%6."/>
      <w:lvlJc w:val="right"/>
      <w:pPr>
        <w:tabs>
          <w:tab w:val="num" w:pos="4320"/>
        </w:tabs>
        <w:ind w:left="4320" w:hanging="180"/>
      </w:pPr>
    </w:lvl>
    <w:lvl w:ilvl="6" w:tplc="0102E706" w:tentative="1">
      <w:start w:val="1"/>
      <w:numFmt w:val="decimal"/>
      <w:lvlText w:val="%7."/>
      <w:lvlJc w:val="left"/>
      <w:pPr>
        <w:tabs>
          <w:tab w:val="num" w:pos="5040"/>
        </w:tabs>
        <w:ind w:left="5040" w:hanging="360"/>
      </w:pPr>
    </w:lvl>
    <w:lvl w:ilvl="7" w:tplc="5EA0A36C" w:tentative="1">
      <w:start w:val="1"/>
      <w:numFmt w:val="lowerLetter"/>
      <w:lvlText w:val="%8."/>
      <w:lvlJc w:val="left"/>
      <w:pPr>
        <w:tabs>
          <w:tab w:val="num" w:pos="5760"/>
        </w:tabs>
        <w:ind w:left="5760" w:hanging="360"/>
      </w:pPr>
    </w:lvl>
    <w:lvl w:ilvl="8" w:tplc="E2D0C5E6" w:tentative="1">
      <w:start w:val="1"/>
      <w:numFmt w:val="lowerRoman"/>
      <w:lvlText w:val="%9."/>
      <w:lvlJc w:val="right"/>
      <w:pPr>
        <w:tabs>
          <w:tab w:val="num" w:pos="6480"/>
        </w:tabs>
        <w:ind w:left="6480" w:hanging="180"/>
      </w:p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E26123"/>
    <w:multiLevelType w:val="hybridMultilevel"/>
    <w:tmpl w:val="B7FE0384"/>
    <w:lvl w:ilvl="0" w:tplc="7674AD74">
      <w:start w:val="1"/>
      <w:numFmt w:val="decimal"/>
      <w:lvlText w:val="%1."/>
      <w:lvlJc w:val="left"/>
      <w:pPr>
        <w:tabs>
          <w:tab w:val="num" w:pos="720"/>
        </w:tabs>
        <w:ind w:left="720" w:hanging="360"/>
      </w:pPr>
      <w:rPr>
        <w:rFonts w:hint="default"/>
      </w:rPr>
    </w:lvl>
    <w:lvl w:ilvl="1" w:tplc="DF9CF1B2" w:tentative="1">
      <w:start w:val="1"/>
      <w:numFmt w:val="lowerLetter"/>
      <w:lvlText w:val="%2."/>
      <w:lvlJc w:val="left"/>
      <w:pPr>
        <w:tabs>
          <w:tab w:val="num" w:pos="1440"/>
        </w:tabs>
        <w:ind w:left="1440" w:hanging="360"/>
      </w:pPr>
    </w:lvl>
    <w:lvl w:ilvl="2" w:tplc="CF965534" w:tentative="1">
      <w:start w:val="1"/>
      <w:numFmt w:val="lowerRoman"/>
      <w:lvlText w:val="%3."/>
      <w:lvlJc w:val="right"/>
      <w:pPr>
        <w:tabs>
          <w:tab w:val="num" w:pos="2160"/>
        </w:tabs>
        <w:ind w:left="2160" w:hanging="180"/>
      </w:pPr>
    </w:lvl>
    <w:lvl w:ilvl="3" w:tplc="3FF4FC38" w:tentative="1">
      <w:start w:val="1"/>
      <w:numFmt w:val="decimal"/>
      <w:lvlText w:val="%4."/>
      <w:lvlJc w:val="left"/>
      <w:pPr>
        <w:tabs>
          <w:tab w:val="num" w:pos="2880"/>
        </w:tabs>
        <w:ind w:left="2880" w:hanging="360"/>
      </w:pPr>
    </w:lvl>
    <w:lvl w:ilvl="4" w:tplc="B35AFBCE" w:tentative="1">
      <w:start w:val="1"/>
      <w:numFmt w:val="lowerLetter"/>
      <w:lvlText w:val="%5."/>
      <w:lvlJc w:val="left"/>
      <w:pPr>
        <w:tabs>
          <w:tab w:val="num" w:pos="3600"/>
        </w:tabs>
        <w:ind w:left="3600" w:hanging="360"/>
      </w:pPr>
    </w:lvl>
    <w:lvl w:ilvl="5" w:tplc="B3463AF0" w:tentative="1">
      <w:start w:val="1"/>
      <w:numFmt w:val="lowerRoman"/>
      <w:lvlText w:val="%6."/>
      <w:lvlJc w:val="right"/>
      <w:pPr>
        <w:tabs>
          <w:tab w:val="num" w:pos="4320"/>
        </w:tabs>
        <w:ind w:left="4320" w:hanging="180"/>
      </w:pPr>
    </w:lvl>
    <w:lvl w:ilvl="6" w:tplc="74381B82" w:tentative="1">
      <w:start w:val="1"/>
      <w:numFmt w:val="decimal"/>
      <w:lvlText w:val="%7."/>
      <w:lvlJc w:val="left"/>
      <w:pPr>
        <w:tabs>
          <w:tab w:val="num" w:pos="5040"/>
        </w:tabs>
        <w:ind w:left="5040" w:hanging="360"/>
      </w:pPr>
    </w:lvl>
    <w:lvl w:ilvl="7" w:tplc="BBDC7A6A" w:tentative="1">
      <w:start w:val="1"/>
      <w:numFmt w:val="lowerLetter"/>
      <w:lvlText w:val="%8."/>
      <w:lvlJc w:val="left"/>
      <w:pPr>
        <w:tabs>
          <w:tab w:val="num" w:pos="5760"/>
        </w:tabs>
        <w:ind w:left="5760" w:hanging="360"/>
      </w:pPr>
    </w:lvl>
    <w:lvl w:ilvl="8" w:tplc="BB5C3B1C" w:tentative="1">
      <w:start w:val="1"/>
      <w:numFmt w:val="lowerRoman"/>
      <w:lvlText w:val="%9."/>
      <w:lvlJc w:val="right"/>
      <w:pPr>
        <w:tabs>
          <w:tab w:val="num" w:pos="6480"/>
        </w:tabs>
        <w:ind w:left="6480" w:hanging="180"/>
      </w:pPr>
    </w:lvl>
  </w:abstractNum>
  <w:abstractNum w:abstractNumId="3"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872"/>
    <w:rsid w:val="000635B0"/>
    <w:rsid w:val="00073D32"/>
    <w:rsid w:val="00091CB5"/>
    <w:rsid w:val="000C2C93"/>
    <w:rsid w:val="000E7FB7"/>
    <w:rsid w:val="0011403F"/>
    <w:rsid w:val="00127828"/>
    <w:rsid w:val="00135297"/>
    <w:rsid w:val="001B6BFC"/>
    <w:rsid w:val="002053BC"/>
    <w:rsid w:val="0025316C"/>
    <w:rsid w:val="00294E5D"/>
    <w:rsid w:val="002A50DB"/>
    <w:rsid w:val="002B5DA5"/>
    <w:rsid w:val="00304E57"/>
    <w:rsid w:val="003176DA"/>
    <w:rsid w:val="00322D9B"/>
    <w:rsid w:val="003828CB"/>
    <w:rsid w:val="00393FAA"/>
    <w:rsid w:val="003B061A"/>
    <w:rsid w:val="00415872"/>
    <w:rsid w:val="0042657D"/>
    <w:rsid w:val="004335BF"/>
    <w:rsid w:val="00452CA2"/>
    <w:rsid w:val="00456171"/>
    <w:rsid w:val="00462397"/>
    <w:rsid w:val="004807D5"/>
    <w:rsid w:val="00486E5B"/>
    <w:rsid w:val="0048772D"/>
    <w:rsid w:val="004D06A1"/>
    <w:rsid w:val="00507A68"/>
    <w:rsid w:val="0051346C"/>
    <w:rsid w:val="00517721"/>
    <w:rsid w:val="0055217C"/>
    <w:rsid w:val="0056199D"/>
    <w:rsid w:val="005A5BFC"/>
    <w:rsid w:val="005C57D7"/>
    <w:rsid w:val="005C5A7E"/>
    <w:rsid w:val="005D6D28"/>
    <w:rsid w:val="00614A2C"/>
    <w:rsid w:val="006B3892"/>
    <w:rsid w:val="006C6378"/>
    <w:rsid w:val="00704E5C"/>
    <w:rsid w:val="00716B78"/>
    <w:rsid w:val="00721A5F"/>
    <w:rsid w:val="00721D73"/>
    <w:rsid w:val="007566C3"/>
    <w:rsid w:val="00771015"/>
    <w:rsid w:val="00775862"/>
    <w:rsid w:val="007A4C85"/>
    <w:rsid w:val="007D38AA"/>
    <w:rsid w:val="007D50EA"/>
    <w:rsid w:val="007D73E2"/>
    <w:rsid w:val="00806047"/>
    <w:rsid w:val="00832E15"/>
    <w:rsid w:val="00840F80"/>
    <w:rsid w:val="00843BC7"/>
    <w:rsid w:val="00852D9C"/>
    <w:rsid w:val="00876292"/>
    <w:rsid w:val="008818C4"/>
    <w:rsid w:val="008A5002"/>
    <w:rsid w:val="008A5549"/>
    <w:rsid w:val="008D66F0"/>
    <w:rsid w:val="0098273A"/>
    <w:rsid w:val="00A21979"/>
    <w:rsid w:val="00A25B23"/>
    <w:rsid w:val="00A34088"/>
    <w:rsid w:val="00A41674"/>
    <w:rsid w:val="00A7430E"/>
    <w:rsid w:val="00A80B41"/>
    <w:rsid w:val="00AA0D39"/>
    <w:rsid w:val="00AB2CE0"/>
    <w:rsid w:val="00AC4091"/>
    <w:rsid w:val="00AF132B"/>
    <w:rsid w:val="00B07F02"/>
    <w:rsid w:val="00B16E69"/>
    <w:rsid w:val="00B3098C"/>
    <w:rsid w:val="00B442A4"/>
    <w:rsid w:val="00B613F0"/>
    <w:rsid w:val="00B7299A"/>
    <w:rsid w:val="00B9506B"/>
    <w:rsid w:val="00B9791F"/>
    <w:rsid w:val="00BA2B15"/>
    <w:rsid w:val="00BB4735"/>
    <w:rsid w:val="00BE53A9"/>
    <w:rsid w:val="00C01371"/>
    <w:rsid w:val="00C24BA2"/>
    <w:rsid w:val="00C703C1"/>
    <w:rsid w:val="00C725B2"/>
    <w:rsid w:val="00C90555"/>
    <w:rsid w:val="00C9573A"/>
    <w:rsid w:val="00C96FFE"/>
    <w:rsid w:val="00CD136E"/>
    <w:rsid w:val="00D14AD2"/>
    <w:rsid w:val="00D26732"/>
    <w:rsid w:val="00D34027"/>
    <w:rsid w:val="00D60ECA"/>
    <w:rsid w:val="00D759D1"/>
    <w:rsid w:val="00D82F8D"/>
    <w:rsid w:val="00D87F52"/>
    <w:rsid w:val="00DA0D93"/>
    <w:rsid w:val="00DB5127"/>
    <w:rsid w:val="00DD633F"/>
    <w:rsid w:val="00DF5F1C"/>
    <w:rsid w:val="00E23D87"/>
    <w:rsid w:val="00E27FE9"/>
    <w:rsid w:val="00E312D2"/>
    <w:rsid w:val="00E3401C"/>
    <w:rsid w:val="00E47AAE"/>
    <w:rsid w:val="00E61C62"/>
    <w:rsid w:val="00E746E7"/>
    <w:rsid w:val="00EC15A1"/>
    <w:rsid w:val="00F018D6"/>
    <w:rsid w:val="00F06E50"/>
    <w:rsid w:val="00F06FC9"/>
    <w:rsid w:val="00F111D6"/>
    <w:rsid w:val="00F17B7C"/>
    <w:rsid w:val="00F64095"/>
    <w:rsid w:val="00FC07B7"/>
    <w:rsid w:val="00FF35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E4D46"/>
  <w15:docId w15:val="{EC10D641-B3EA-46C0-A9B2-0B70A2303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pPr>
      <w:tabs>
        <w:tab w:val="center" w:pos="4536"/>
        <w:tab w:val="right" w:pos="9072"/>
      </w:tabs>
    </w:pPr>
  </w:style>
  <w:style w:type="character" w:styleId="slostrnky">
    <w:name w:val="page number"/>
    <w:basedOn w:val="Standardnpsmoodstavce"/>
    <w:uiPriority w:val="99"/>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character" w:styleId="Hypertextovodkaz">
    <w:name w:val="Hyperlink"/>
    <w:basedOn w:val="Standardnpsmoodstavce"/>
    <w:uiPriority w:val="99"/>
    <w:unhideWhenUsed/>
    <w:rsid w:val="004D06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8717">
      <w:bodyDiv w:val="1"/>
      <w:marLeft w:val="0"/>
      <w:marRight w:val="0"/>
      <w:marTop w:val="0"/>
      <w:marBottom w:val="0"/>
      <w:divBdr>
        <w:top w:val="none" w:sz="0" w:space="0" w:color="auto"/>
        <w:left w:val="none" w:sz="0" w:space="0" w:color="auto"/>
        <w:bottom w:val="none" w:sz="0" w:space="0" w:color="auto"/>
        <w:right w:val="none" w:sz="0" w:space="0" w:color="auto"/>
      </w:divBdr>
    </w:div>
    <w:div w:id="33972070">
      <w:bodyDiv w:val="1"/>
      <w:marLeft w:val="0"/>
      <w:marRight w:val="0"/>
      <w:marTop w:val="0"/>
      <w:marBottom w:val="0"/>
      <w:divBdr>
        <w:top w:val="none" w:sz="0" w:space="0" w:color="auto"/>
        <w:left w:val="none" w:sz="0" w:space="0" w:color="auto"/>
        <w:bottom w:val="none" w:sz="0" w:space="0" w:color="auto"/>
        <w:right w:val="none" w:sz="0" w:space="0" w:color="auto"/>
      </w:divBdr>
    </w:div>
    <w:div w:id="44258037">
      <w:bodyDiv w:val="1"/>
      <w:marLeft w:val="0"/>
      <w:marRight w:val="0"/>
      <w:marTop w:val="0"/>
      <w:marBottom w:val="0"/>
      <w:divBdr>
        <w:top w:val="none" w:sz="0" w:space="0" w:color="auto"/>
        <w:left w:val="none" w:sz="0" w:space="0" w:color="auto"/>
        <w:bottom w:val="none" w:sz="0" w:space="0" w:color="auto"/>
        <w:right w:val="none" w:sz="0" w:space="0" w:color="auto"/>
      </w:divBdr>
    </w:div>
    <w:div w:id="87507167">
      <w:bodyDiv w:val="1"/>
      <w:marLeft w:val="0"/>
      <w:marRight w:val="0"/>
      <w:marTop w:val="0"/>
      <w:marBottom w:val="0"/>
      <w:divBdr>
        <w:top w:val="none" w:sz="0" w:space="0" w:color="auto"/>
        <w:left w:val="none" w:sz="0" w:space="0" w:color="auto"/>
        <w:bottom w:val="none" w:sz="0" w:space="0" w:color="auto"/>
        <w:right w:val="none" w:sz="0" w:space="0" w:color="auto"/>
      </w:divBdr>
    </w:div>
    <w:div w:id="128017937">
      <w:bodyDiv w:val="1"/>
      <w:marLeft w:val="0"/>
      <w:marRight w:val="0"/>
      <w:marTop w:val="0"/>
      <w:marBottom w:val="0"/>
      <w:divBdr>
        <w:top w:val="none" w:sz="0" w:space="0" w:color="auto"/>
        <w:left w:val="none" w:sz="0" w:space="0" w:color="auto"/>
        <w:bottom w:val="none" w:sz="0" w:space="0" w:color="auto"/>
        <w:right w:val="none" w:sz="0" w:space="0" w:color="auto"/>
      </w:divBdr>
    </w:div>
    <w:div w:id="176311078">
      <w:bodyDiv w:val="1"/>
      <w:marLeft w:val="0"/>
      <w:marRight w:val="0"/>
      <w:marTop w:val="0"/>
      <w:marBottom w:val="0"/>
      <w:divBdr>
        <w:top w:val="none" w:sz="0" w:space="0" w:color="auto"/>
        <w:left w:val="none" w:sz="0" w:space="0" w:color="auto"/>
        <w:bottom w:val="none" w:sz="0" w:space="0" w:color="auto"/>
        <w:right w:val="none" w:sz="0" w:space="0" w:color="auto"/>
      </w:divBdr>
    </w:div>
    <w:div w:id="201600453">
      <w:bodyDiv w:val="1"/>
      <w:marLeft w:val="0"/>
      <w:marRight w:val="0"/>
      <w:marTop w:val="0"/>
      <w:marBottom w:val="0"/>
      <w:divBdr>
        <w:top w:val="none" w:sz="0" w:space="0" w:color="auto"/>
        <w:left w:val="none" w:sz="0" w:space="0" w:color="auto"/>
        <w:bottom w:val="none" w:sz="0" w:space="0" w:color="auto"/>
        <w:right w:val="none" w:sz="0" w:space="0" w:color="auto"/>
      </w:divBdr>
    </w:div>
    <w:div w:id="258955176">
      <w:bodyDiv w:val="1"/>
      <w:marLeft w:val="0"/>
      <w:marRight w:val="0"/>
      <w:marTop w:val="0"/>
      <w:marBottom w:val="0"/>
      <w:divBdr>
        <w:top w:val="none" w:sz="0" w:space="0" w:color="auto"/>
        <w:left w:val="none" w:sz="0" w:space="0" w:color="auto"/>
        <w:bottom w:val="none" w:sz="0" w:space="0" w:color="auto"/>
        <w:right w:val="none" w:sz="0" w:space="0" w:color="auto"/>
      </w:divBdr>
    </w:div>
    <w:div w:id="286277208">
      <w:bodyDiv w:val="1"/>
      <w:marLeft w:val="0"/>
      <w:marRight w:val="0"/>
      <w:marTop w:val="0"/>
      <w:marBottom w:val="0"/>
      <w:divBdr>
        <w:top w:val="none" w:sz="0" w:space="0" w:color="auto"/>
        <w:left w:val="none" w:sz="0" w:space="0" w:color="auto"/>
        <w:bottom w:val="none" w:sz="0" w:space="0" w:color="auto"/>
        <w:right w:val="none" w:sz="0" w:space="0" w:color="auto"/>
      </w:divBdr>
    </w:div>
    <w:div w:id="345064075">
      <w:bodyDiv w:val="1"/>
      <w:marLeft w:val="0"/>
      <w:marRight w:val="0"/>
      <w:marTop w:val="0"/>
      <w:marBottom w:val="0"/>
      <w:divBdr>
        <w:top w:val="none" w:sz="0" w:space="0" w:color="auto"/>
        <w:left w:val="none" w:sz="0" w:space="0" w:color="auto"/>
        <w:bottom w:val="none" w:sz="0" w:space="0" w:color="auto"/>
        <w:right w:val="none" w:sz="0" w:space="0" w:color="auto"/>
      </w:divBdr>
    </w:div>
    <w:div w:id="382296911">
      <w:bodyDiv w:val="1"/>
      <w:marLeft w:val="0"/>
      <w:marRight w:val="0"/>
      <w:marTop w:val="0"/>
      <w:marBottom w:val="0"/>
      <w:divBdr>
        <w:top w:val="none" w:sz="0" w:space="0" w:color="auto"/>
        <w:left w:val="none" w:sz="0" w:space="0" w:color="auto"/>
        <w:bottom w:val="none" w:sz="0" w:space="0" w:color="auto"/>
        <w:right w:val="none" w:sz="0" w:space="0" w:color="auto"/>
      </w:divBdr>
    </w:div>
    <w:div w:id="386489668">
      <w:bodyDiv w:val="1"/>
      <w:marLeft w:val="0"/>
      <w:marRight w:val="0"/>
      <w:marTop w:val="0"/>
      <w:marBottom w:val="0"/>
      <w:divBdr>
        <w:top w:val="none" w:sz="0" w:space="0" w:color="auto"/>
        <w:left w:val="none" w:sz="0" w:space="0" w:color="auto"/>
        <w:bottom w:val="none" w:sz="0" w:space="0" w:color="auto"/>
        <w:right w:val="none" w:sz="0" w:space="0" w:color="auto"/>
      </w:divBdr>
    </w:div>
    <w:div w:id="425075870">
      <w:bodyDiv w:val="1"/>
      <w:marLeft w:val="0"/>
      <w:marRight w:val="0"/>
      <w:marTop w:val="0"/>
      <w:marBottom w:val="0"/>
      <w:divBdr>
        <w:top w:val="none" w:sz="0" w:space="0" w:color="auto"/>
        <w:left w:val="none" w:sz="0" w:space="0" w:color="auto"/>
        <w:bottom w:val="none" w:sz="0" w:space="0" w:color="auto"/>
        <w:right w:val="none" w:sz="0" w:space="0" w:color="auto"/>
      </w:divBdr>
    </w:div>
    <w:div w:id="425467680">
      <w:bodyDiv w:val="1"/>
      <w:marLeft w:val="0"/>
      <w:marRight w:val="0"/>
      <w:marTop w:val="0"/>
      <w:marBottom w:val="0"/>
      <w:divBdr>
        <w:top w:val="none" w:sz="0" w:space="0" w:color="auto"/>
        <w:left w:val="none" w:sz="0" w:space="0" w:color="auto"/>
        <w:bottom w:val="none" w:sz="0" w:space="0" w:color="auto"/>
        <w:right w:val="none" w:sz="0" w:space="0" w:color="auto"/>
      </w:divBdr>
    </w:div>
    <w:div w:id="497036414">
      <w:bodyDiv w:val="1"/>
      <w:marLeft w:val="0"/>
      <w:marRight w:val="0"/>
      <w:marTop w:val="0"/>
      <w:marBottom w:val="0"/>
      <w:divBdr>
        <w:top w:val="none" w:sz="0" w:space="0" w:color="auto"/>
        <w:left w:val="none" w:sz="0" w:space="0" w:color="auto"/>
        <w:bottom w:val="none" w:sz="0" w:space="0" w:color="auto"/>
        <w:right w:val="none" w:sz="0" w:space="0" w:color="auto"/>
      </w:divBdr>
    </w:div>
    <w:div w:id="555824551">
      <w:bodyDiv w:val="1"/>
      <w:marLeft w:val="0"/>
      <w:marRight w:val="0"/>
      <w:marTop w:val="0"/>
      <w:marBottom w:val="0"/>
      <w:divBdr>
        <w:top w:val="none" w:sz="0" w:space="0" w:color="auto"/>
        <w:left w:val="none" w:sz="0" w:space="0" w:color="auto"/>
        <w:bottom w:val="none" w:sz="0" w:space="0" w:color="auto"/>
        <w:right w:val="none" w:sz="0" w:space="0" w:color="auto"/>
      </w:divBdr>
    </w:div>
    <w:div w:id="561990335">
      <w:bodyDiv w:val="1"/>
      <w:marLeft w:val="0"/>
      <w:marRight w:val="0"/>
      <w:marTop w:val="0"/>
      <w:marBottom w:val="0"/>
      <w:divBdr>
        <w:top w:val="none" w:sz="0" w:space="0" w:color="auto"/>
        <w:left w:val="none" w:sz="0" w:space="0" w:color="auto"/>
        <w:bottom w:val="none" w:sz="0" w:space="0" w:color="auto"/>
        <w:right w:val="none" w:sz="0" w:space="0" w:color="auto"/>
      </w:divBdr>
    </w:div>
    <w:div w:id="573589998">
      <w:bodyDiv w:val="1"/>
      <w:marLeft w:val="0"/>
      <w:marRight w:val="0"/>
      <w:marTop w:val="0"/>
      <w:marBottom w:val="0"/>
      <w:divBdr>
        <w:top w:val="none" w:sz="0" w:space="0" w:color="auto"/>
        <w:left w:val="none" w:sz="0" w:space="0" w:color="auto"/>
        <w:bottom w:val="none" w:sz="0" w:space="0" w:color="auto"/>
        <w:right w:val="none" w:sz="0" w:space="0" w:color="auto"/>
      </w:divBdr>
    </w:div>
    <w:div w:id="585963540">
      <w:bodyDiv w:val="1"/>
      <w:marLeft w:val="0"/>
      <w:marRight w:val="0"/>
      <w:marTop w:val="0"/>
      <w:marBottom w:val="0"/>
      <w:divBdr>
        <w:top w:val="none" w:sz="0" w:space="0" w:color="auto"/>
        <w:left w:val="none" w:sz="0" w:space="0" w:color="auto"/>
        <w:bottom w:val="none" w:sz="0" w:space="0" w:color="auto"/>
        <w:right w:val="none" w:sz="0" w:space="0" w:color="auto"/>
      </w:divBdr>
    </w:div>
    <w:div w:id="622002851">
      <w:bodyDiv w:val="1"/>
      <w:marLeft w:val="0"/>
      <w:marRight w:val="0"/>
      <w:marTop w:val="0"/>
      <w:marBottom w:val="0"/>
      <w:divBdr>
        <w:top w:val="none" w:sz="0" w:space="0" w:color="auto"/>
        <w:left w:val="none" w:sz="0" w:space="0" w:color="auto"/>
        <w:bottom w:val="none" w:sz="0" w:space="0" w:color="auto"/>
        <w:right w:val="none" w:sz="0" w:space="0" w:color="auto"/>
      </w:divBdr>
    </w:div>
    <w:div w:id="668755671">
      <w:bodyDiv w:val="1"/>
      <w:marLeft w:val="0"/>
      <w:marRight w:val="0"/>
      <w:marTop w:val="0"/>
      <w:marBottom w:val="0"/>
      <w:divBdr>
        <w:top w:val="none" w:sz="0" w:space="0" w:color="auto"/>
        <w:left w:val="none" w:sz="0" w:space="0" w:color="auto"/>
        <w:bottom w:val="none" w:sz="0" w:space="0" w:color="auto"/>
        <w:right w:val="none" w:sz="0" w:space="0" w:color="auto"/>
      </w:divBdr>
    </w:div>
    <w:div w:id="674113010">
      <w:bodyDiv w:val="1"/>
      <w:marLeft w:val="0"/>
      <w:marRight w:val="0"/>
      <w:marTop w:val="0"/>
      <w:marBottom w:val="0"/>
      <w:divBdr>
        <w:top w:val="none" w:sz="0" w:space="0" w:color="auto"/>
        <w:left w:val="none" w:sz="0" w:space="0" w:color="auto"/>
        <w:bottom w:val="none" w:sz="0" w:space="0" w:color="auto"/>
        <w:right w:val="none" w:sz="0" w:space="0" w:color="auto"/>
      </w:divBdr>
    </w:div>
    <w:div w:id="744375677">
      <w:bodyDiv w:val="1"/>
      <w:marLeft w:val="0"/>
      <w:marRight w:val="0"/>
      <w:marTop w:val="0"/>
      <w:marBottom w:val="0"/>
      <w:divBdr>
        <w:top w:val="none" w:sz="0" w:space="0" w:color="auto"/>
        <w:left w:val="none" w:sz="0" w:space="0" w:color="auto"/>
        <w:bottom w:val="none" w:sz="0" w:space="0" w:color="auto"/>
        <w:right w:val="none" w:sz="0" w:space="0" w:color="auto"/>
      </w:divBdr>
    </w:div>
    <w:div w:id="758795962">
      <w:bodyDiv w:val="1"/>
      <w:marLeft w:val="0"/>
      <w:marRight w:val="0"/>
      <w:marTop w:val="0"/>
      <w:marBottom w:val="0"/>
      <w:divBdr>
        <w:top w:val="none" w:sz="0" w:space="0" w:color="auto"/>
        <w:left w:val="none" w:sz="0" w:space="0" w:color="auto"/>
        <w:bottom w:val="none" w:sz="0" w:space="0" w:color="auto"/>
        <w:right w:val="none" w:sz="0" w:space="0" w:color="auto"/>
      </w:divBdr>
    </w:div>
    <w:div w:id="823661263">
      <w:bodyDiv w:val="1"/>
      <w:marLeft w:val="0"/>
      <w:marRight w:val="0"/>
      <w:marTop w:val="0"/>
      <w:marBottom w:val="0"/>
      <w:divBdr>
        <w:top w:val="none" w:sz="0" w:space="0" w:color="auto"/>
        <w:left w:val="none" w:sz="0" w:space="0" w:color="auto"/>
        <w:bottom w:val="none" w:sz="0" w:space="0" w:color="auto"/>
        <w:right w:val="none" w:sz="0" w:space="0" w:color="auto"/>
      </w:divBdr>
    </w:div>
    <w:div w:id="894510014">
      <w:bodyDiv w:val="1"/>
      <w:marLeft w:val="0"/>
      <w:marRight w:val="0"/>
      <w:marTop w:val="0"/>
      <w:marBottom w:val="0"/>
      <w:divBdr>
        <w:top w:val="none" w:sz="0" w:space="0" w:color="auto"/>
        <w:left w:val="none" w:sz="0" w:space="0" w:color="auto"/>
        <w:bottom w:val="none" w:sz="0" w:space="0" w:color="auto"/>
        <w:right w:val="none" w:sz="0" w:space="0" w:color="auto"/>
      </w:divBdr>
    </w:div>
    <w:div w:id="908461076">
      <w:bodyDiv w:val="1"/>
      <w:marLeft w:val="0"/>
      <w:marRight w:val="0"/>
      <w:marTop w:val="0"/>
      <w:marBottom w:val="0"/>
      <w:divBdr>
        <w:top w:val="none" w:sz="0" w:space="0" w:color="auto"/>
        <w:left w:val="none" w:sz="0" w:space="0" w:color="auto"/>
        <w:bottom w:val="none" w:sz="0" w:space="0" w:color="auto"/>
        <w:right w:val="none" w:sz="0" w:space="0" w:color="auto"/>
      </w:divBdr>
    </w:div>
    <w:div w:id="923339322">
      <w:bodyDiv w:val="1"/>
      <w:marLeft w:val="0"/>
      <w:marRight w:val="0"/>
      <w:marTop w:val="0"/>
      <w:marBottom w:val="0"/>
      <w:divBdr>
        <w:top w:val="none" w:sz="0" w:space="0" w:color="auto"/>
        <w:left w:val="none" w:sz="0" w:space="0" w:color="auto"/>
        <w:bottom w:val="none" w:sz="0" w:space="0" w:color="auto"/>
        <w:right w:val="none" w:sz="0" w:space="0" w:color="auto"/>
      </w:divBdr>
    </w:div>
    <w:div w:id="984050437">
      <w:bodyDiv w:val="1"/>
      <w:marLeft w:val="0"/>
      <w:marRight w:val="0"/>
      <w:marTop w:val="0"/>
      <w:marBottom w:val="0"/>
      <w:divBdr>
        <w:top w:val="none" w:sz="0" w:space="0" w:color="auto"/>
        <w:left w:val="none" w:sz="0" w:space="0" w:color="auto"/>
        <w:bottom w:val="none" w:sz="0" w:space="0" w:color="auto"/>
        <w:right w:val="none" w:sz="0" w:space="0" w:color="auto"/>
      </w:divBdr>
    </w:div>
    <w:div w:id="989360049">
      <w:bodyDiv w:val="1"/>
      <w:marLeft w:val="0"/>
      <w:marRight w:val="0"/>
      <w:marTop w:val="0"/>
      <w:marBottom w:val="0"/>
      <w:divBdr>
        <w:top w:val="none" w:sz="0" w:space="0" w:color="auto"/>
        <w:left w:val="none" w:sz="0" w:space="0" w:color="auto"/>
        <w:bottom w:val="none" w:sz="0" w:space="0" w:color="auto"/>
        <w:right w:val="none" w:sz="0" w:space="0" w:color="auto"/>
      </w:divBdr>
    </w:div>
    <w:div w:id="998079277">
      <w:bodyDiv w:val="1"/>
      <w:marLeft w:val="0"/>
      <w:marRight w:val="0"/>
      <w:marTop w:val="0"/>
      <w:marBottom w:val="0"/>
      <w:divBdr>
        <w:top w:val="none" w:sz="0" w:space="0" w:color="auto"/>
        <w:left w:val="none" w:sz="0" w:space="0" w:color="auto"/>
        <w:bottom w:val="none" w:sz="0" w:space="0" w:color="auto"/>
        <w:right w:val="none" w:sz="0" w:space="0" w:color="auto"/>
      </w:divBdr>
    </w:div>
    <w:div w:id="1040669070">
      <w:bodyDiv w:val="1"/>
      <w:marLeft w:val="0"/>
      <w:marRight w:val="0"/>
      <w:marTop w:val="0"/>
      <w:marBottom w:val="0"/>
      <w:divBdr>
        <w:top w:val="none" w:sz="0" w:space="0" w:color="auto"/>
        <w:left w:val="none" w:sz="0" w:space="0" w:color="auto"/>
        <w:bottom w:val="none" w:sz="0" w:space="0" w:color="auto"/>
        <w:right w:val="none" w:sz="0" w:space="0" w:color="auto"/>
      </w:divBdr>
    </w:div>
    <w:div w:id="1081297208">
      <w:bodyDiv w:val="1"/>
      <w:marLeft w:val="0"/>
      <w:marRight w:val="0"/>
      <w:marTop w:val="0"/>
      <w:marBottom w:val="0"/>
      <w:divBdr>
        <w:top w:val="none" w:sz="0" w:space="0" w:color="auto"/>
        <w:left w:val="none" w:sz="0" w:space="0" w:color="auto"/>
        <w:bottom w:val="none" w:sz="0" w:space="0" w:color="auto"/>
        <w:right w:val="none" w:sz="0" w:space="0" w:color="auto"/>
      </w:divBdr>
    </w:div>
    <w:div w:id="1090077609">
      <w:bodyDiv w:val="1"/>
      <w:marLeft w:val="0"/>
      <w:marRight w:val="0"/>
      <w:marTop w:val="0"/>
      <w:marBottom w:val="0"/>
      <w:divBdr>
        <w:top w:val="none" w:sz="0" w:space="0" w:color="auto"/>
        <w:left w:val="none" w:sz="0" w:space="0" w:color="auto"/>
        <w:bottom w:val="none" w:sz="0" w:space="0" w:color="auto"/>
        <w:right w:val="none" w:sz="0" w:space="0" w:color="auto"/>
      </w:divBdr>
    </w:div>
    <w:div w:id="1172378077">
      <w:bodyDiv w:val="1"/>
      <w:marLeft w:val="0"/>
      <w:marRight w:val="0"/>
      <w:marTop w:val="0"/>
      <w:marBottom w:val="0"/>
      <w:divBdr>
        <w:top w:val="none" w:sz="0" w:space="0" w:color="auto"/>
        <w:left w:val="none" w:sz="0" w:space="0" w:color="auto"/>
        <w:bottom w:val="none" w:sz="0" w:space="0" w:color="auto"/>
        <w:right w:val="none" w:sz="0" w:space="0" w:color="auto"/>
      </w:divBdr>
    </w:div>
    <w:div w:id="1200389140">
      <w:bodyDiv w:val="1"/>
      <w:marLeft w:val="0"/>
      <w:marRight w:val="0"/>
      <w:marTop w:val="0"/>
      <w:marBottom w:val="0"/>
      <w:divBdr>
        <w:top w:val="none" w:sz="0" w:space="0" w:color="auto"/>
        <w:left w:val="none" w:sz="0" w:space="0" w:color="auto"/>
        <w:bottom w:val="none" w:sz="0" w:space="0" w:color="auto"/>
        <w:right w:val="none" w:sz="0" w:space="0" w:color="auto"/>
      </w:divBdr>
    </w:div>
    <w:div w:id="1246109000">
      <w:bodyDiv w:val="1"/>
      <w:marLeft w:val="0"/>
      <w:marRight w:val="0"/>
      <w:marTop w:val="0"/>
      <w:marBottom w:val="0"/>
      <w:divBdr>
        <w:top w:val="none" w:sz="0" w:space="0" w:color="auto"/>
        <w:left w:val="none" w:sz="0" w:space="0" w:color="auto"/>
        <w:bottom w:val="none" w:sz="0" w:space="0" w:color="auto"/>
        <w:right w:val="none" w:sz="0" w:space="0" w:color="auto"/>
      </w:divBdr>
    </w:div>
    <w:div w:id="1248075612">
      <w:bodyDiv w:val="1"/>
      <w:marLeft w:val="0"/>
      <w:marRight w:val="0"/>
      <w:marTop w:val="0"/>
      <w:marBottom w:val="0"/>
      <w:divBdr>
        <w:top w:val="none" w:sz="0" w:space="0" w:color="auto"/>
        <w:left w:val="none" w:sz="0" w:space="0" w:color="auto"/>
        <w:bottom w:val="none" w:sz="0" w:space="0" w:color="auto"/>
        <w:right w:val="none" w:sz="0" w:space="0" w:color="auto"/>
      </w:divBdr>
    </w:div>
    <w:div w:id="1283345756">
      <w:bodyDiv w:val="1"/>
      <w:marLeft w:val="0"/>
      <w:marRight w:val="0"/>
      <w:marTop w:val="0"/>
      <w:marBottom w:val="0"/>
      <w:divBdr>
        <w:top w:val="none" w:sz="0" w:space="0" w:color="auto"/>
        <w:left w:val="none" w:sz="0" w:space="0" w:color="auto"/>
        <w:bottom w:val="none" w:sz="0" w:space="0" w:color="auto"/>
        <w:right w:val="none" w:sz="0" w:space="0" w:color="auto"/>
      </w:divBdr>
    </w:div>
    <w:div w:id="1326401264">
      <w:bodyDiv w:val="1"/>
      <w:marLeft w:val="0"/>
      <w:marRight w:val="0"/>
      <w:marTop w:val="0"/>
      <w:marBottom w:val="0"/>
      <w:divBdr>
        <w:top w:val="none" w:sz="0" w:space="0" w:color="auto"/>
        <w:left w:val="none" w:sz="0" w:space="0" w:color="auto"/>
        <w:bottom w:val="none" w:sz="0" w:space="0" w:color="auto"/>
        <w:right w:val="none" w:sz="0" w:space="0" w:color="auto"/>
      </w:divBdr>
    </w:div>
    <w:div w:id="1327395173">
      <w:bodyDiv w:val="1"/>
      <w:marLeft w:val="0"/>
      <w:marRight w:val="0"/>
      <w:marTop w:val="0"/>
      <w:marBottom w:val="0"/>
      <w:divBdr>
        <w:top w:val="none" w:sz="0" w:space="0" w:color="auto"/>
        <w:left w:val="none" w:sz="0" w:space="0" w:color="auto"/>
        <w:bottom w:val="none" w:sz="0" w:space="0" w:color="auto"/>
        <w:right w:val="none" w:sz="0" w:space="0" w:color="auto"/>
      </w:divBdr>
    </w:div>
    <w:div w:id="1358044740">
      <w:bodyDiv w:val="1"/>
      <w:marLeft w:val="0"/>
      <w:marRight w:val="0"/>
      <w:marTop w:val="0"/>
      <w:marBottom w:val="0"/>
      <w:divBdr>
        <w:top w:val="none" w:sz="0" w:space="0" w:color="auto"/>
        <w:left w:val="none" w:sz="0" w:space="0" w:color="auto"/>
        <w:bottom w:val="none" w:sz="0" w:space="0" w:color="auto"/>
        <w:right w:val="none" w:sz="0" w:space="0" w:color="auto"/>
      </w:divBdr>
    </w:div>
    <w:div w:id="1393432540">
      <w:bodyDiv w:val="1"/>
      <w:marLeft w:val="0"/>
      <w:marRight w:val="0"/>
      <w:marTop w:val="0"/>
      <w:marBottom w:val="0"/>
      <w:divBdr>
        <w:top w:val="none" w:sz="0" w:space="0" w:color="auto"/>
        <w:left w:val="none" w:sz="0" w:space="0" w:color="auto"/>
        <w:bottom w:val="none" w:sz="0" w:space="0" w:color="auto"/>
        <w:right w:val="none" w:sz="0" w:space="0" w:color="auto"/>
      </w:divBdr>
    </w:div>
    <w:div w:id="1454592138">
      <w:bodyDiv w:val="1"/>
      <w:marLeft w:val="0"/>
      <w:marRight w:val="0"/>
      <w:marTop w:val="0"/>
      <w:marBottom w:val="0"/>
      <w:divBdr>
        <w:top w:val="none" w:sz="0" w:space="0" w:color="auto"/>
        <w:left w:val="none" w:sz="0" w:space="0" w:color="auto"/>
        <w:bottom w:val="none" w:sz="0" w:space="0" w:color="auto"/>
        <w:right w:val="none" w:sz="0" w:space="0" w:color="auto"/>
      </w:divBdr>
    </w:div>
    <w:div w:id="1462068955">
      <w:bodyDiv w:val="1"/>
      <w:marLeft w:val="0"/>
      <w:marRight w:val="0"/>
      <w:marTop w:val="0"/>
      <w:marBottom w:val="0"/>
      <w:divBdr>
        <w:top w:val="none" w:sz="0" w:space="0" w:color="auto"/>
        <w:left w:val="none" w:sz="0" w:space="0" w:color="auto"/>
        <w:bottom w:val="none" w:sz="0" w:space="0" w:color="auto"/>
        <w:right w:val="none" w:sz="0" w:space="0" w:color="auto"/>
      </w:divBdr>
    </w:div>
    <w:div w:id="1472137817">
      <w:bodyDiv w:val="1"/>
      <w:marLeft w:val="0"/>
      <w:marRight w:val="0"/>
      <w:marTop w:val="0"/>
      <w:marBottom w:val="0"/>
      <w:divBdr>
        <w:top w:val="none" w:sz="0" w:space="0" w:color="auto"/>
        <w:left w:val="none" w:sz="0" w:space="0" w:color="auto"/>
        <w:bottom w:val="none" w:sz="0" w:space="0" w:color="auto"/>
        <w:right w:val="none" w:sz="0" w:space="0" w:color="auto"/>
      </w:divBdr>
    </w:div>
    <w:div w:id="1503081203">
      <w:bodyDiv w:val="1"/>
      <w:marLeft w:val="0"/>
      <w:marRight w:val="0"/>
      <w:marTop w:val="0"/>
      <w:marBottom w:val="0"/>
      <w:divBdr>
        <w:top w:val="none" w:sz="0" w:space="0" w:color="auto"/>
        <w:left w:val="none" w:sz="0" w:space="0" w:color="auto"/>
        <w:bottom w:val="none" w:sz="0" w:space="0" w:color="auto"/>
        <w:right w:val="none" w:sz="0" w:space="0" w:color="auto"/>
      </w:divBdr>
    </w:div>
    <w:div w:id="1510290483">
      <w:bodyDiv w:val="1"/>
      <w:marLeft w:val="0"/>
      <w:marRight w:val="0"/>
      <w:marTop w:val="0"/>
      <w:marBottom w:val="0"/>
      <w:divBdr>
        <w:top w:val="none" w:sz="0" w:space="0" w:color="auto"/>
        <w:left w:val="none" w:sz="0" w:space="0" w:color="auto"/>
        <w:bottom w:val="none" w:sz="0" w:space="0" w:color="auto"/>
        <w:right w:val="none" w:sz="0" w:space="0" w:color="auto"/>
      </w:divBdr>
    </w:div>
    <w:div w:id="1526990084">
      <w:bodyDiv w:val="1"/>
      <w:marLeft w:val="0"/>
      <w:marRight w:val="0"/>
      <w:marTop w:val="0"/>
      <w:marBottom w:val="0"/>
      <w:divBdr>
        <w:top w:val="none" w:sz="0" w:space="0" w:color="auto"/>
        <w:left w:val="none" w:sz="0" w:space="0" w:color="auto"/>
        <w:bottom w:val="none" w:sz="0" w:space="0" w:color="auto"/>
        <w:right w:val="none" w:sz="0" w:space="0" w:color="auto"/>
      </w:divBdr>
    </w:div>
    <w:div w:id="1559585351">
      <w:bodyDiv w:val="1"/>
      <w:marLeft w:val="0"/>
      <w:marRight w:val="0"/>
      <w:marTop w:val="0"/>
      <w:marBottom w:val="0"/>
      <w:divBdr>
        <w:top w:val="none" w:sz="0" w:space="0" w:color="auto"/>
        <w:left w:val="none" w:sz="0" w:space="0" w:color="auto"/>
        <w:bottom w:val="none" w:sz="0" w:space="0" w:color="auto"/>
        <w:right w:val="none" w:sz="0" w:space="0" w:color="auto"/>
      </w:divBdr>
    </w:div>
    <w:div w:id="1591741142">
      <w:bodyDiv w:val="1"/>
      <w:marLeft w:val="0"/>
      <w:marRight w:val="0"/>
      <w:marTop w:val="0"/>
      <w:marBottom w:val="0"/>
      <w:divBdr>
        <w:top w:val="none" w:sz="0" w:space="0" w:color="auto"/>
        <w:left w:val="none" w:sz="0" w:space="0" w:color="auto"/>
        <w:bottom w:val="none" w:sz="0" w:space="0" w:color="auto"/>
        <w:right w:val="none" w:sz="0" w:space="0" w:color="auto"/>
      </w:divBdr>
    </w:div>
    <w:div w:id="1616911113">
      <w:bodyDiv w:val="1"/>
      <w:marLeft w:val="0"/>
      <w:marRight w:val="0"/>
      <w:marTop w:val="0"/>
      <w:marBottom w:val="0"/>
      <w:divBdr>
        <w:top w:val="none" w:sz="0" w:space="0" w:color="auto"/>
        <w:left w:val="none" w:sz="0" w:space="0" w:color="auto"/>
        <w:bottom w:val="none" w:sz="0" w:space="0" w:color="auto"/>
        <w:right w:val="none" w:sz="0" w:space="0" w:color="auto"/>
      </w:divBdr>
    </w:div>
    <w:div w:id="1656839408">
      <w:bodyDiv w:val="1"/>
      <w:marLeft w:val="0"/>
      <w:marRight w:val="0"/>
      <w:marTop w:val="0"/>
      <w:marBottom w:val="0"/>
      <w:divBdr>
        <w:top w:val="none" w:sz="0" w:space="0" w:color="auto"/>
        <w:left w:val="none" w:sz="0" w:space="0" w:color="auto"/>
        <w:bottom w:val="none" w:sz="0" w:space="0" w:color="auto"/>
        <w:right w:val="none" w:sz="0" w:space="0" w:color="auto"/>
      </w:divBdr>
    </w:div>
    <w:div w:id="1694762148">
      <w:bodyDiv w:val="1"/>
      <w:marLeft w:val="0"/>
      <w:marRight w:val="0"/>
      <w:marTop w:val="0"/>
      <w:marBottom w:val="0"/>
      <w:divBdr>
        <w:top w:val="none" w:sz="0" w:space="0" w:color="auto"/>
        <w:left w:val="none" w:sz="0" w:space="0" w:color="auto"/>
        <w:bottom w:val="none" w:sz="0" w:space="0" w:color="auto"/>
        <w:right w:val="none" w:sz="0" w:space="0" w:color="auto"/>
      </w:divBdr>
    </w:div>
    <w:div w:id="1696541878">
      <w:bodyDiv w:val="1"/>
      <w:marLeft w:val="0"/>
      <w:marRight w:val="0"/>
      <w:marTop w:val="0"/>
      <w:marBottom w:val="0"/>
      <w:divBdr>
        <w:top w:val="none" w:sz="0" w:space="0" w:color="auto"/>
        <w:left w:val="none" w:sz="0" w:space="0" w:color="auto"/>
        <w:bottom w:val="none" w:sz="0" w:space="0" w:color="auto"/>
        <w:right w:val="none" w:sz="0" w:space="0" w:color="auto"/>
      </w:divBdr>
    </w:div>
    <w:div w:id="1708988725">
      <w:bodyDiv w:val="1"/>
      <w:marLeft w:val="0"/>
      <w:marRight w:val="0"/>
      <w:marTop w:val="0"/>
      <w:marBottom w:val="0"/>
      <w:divBdr>
        <w:top w:val="none" w:sz="0" w:space="0" w:color="auto"/>
        <w:left w:val="none" w:sz="0" w:space="0" w:color="auto"/>
        <w:bottom w:val="none" w:sz="0" w:space="0" w:color="auto"/>
        <w:right w:val="none" w:sz="0" w:space="0" w:color="auto"/>
      </w:divBdr>
    </w:div>
    <w:div w:id="1735734093">
      <w:bodyDiv w:val="1"/>
      <w:marLeft w:val="0"/>
      <w:marRight w:val="0"/>
      <w:marTop w:val="0"/>
      <w:marBottom w:val="0"/>
      <w:divBdr>
        <w:top w:val="none" w:sz="0" w:space="0" w:color="auto"/>
        <w:left w:val="none" w:sz="0" w:space="0" w:color="auto"/>
        <w:bottom w:val="none" w:sz="0" w:space="0" w:color="auto"/>
        <w:right w:val="none" w:sz="0" w:space="0" w:color="auto"/>
      </w:divBdr>
    </w:div>
    <w:div w:id="1746680686">
      <w:bodyDiv w:val="1"/>
      <w:marLeft w:val="0"/>
      <w:marRight w:val="0"/>
      <w:marTop w:val="0"/>
      <w:marBottom w:val="0"/>
      <w:divBdr>
        <w:top w:val="none" w:sz="0" w:space="0" w:color="auto"/>
        <w:left w:val="none" w:sz="0" w:space="0" w:color="auto"/>
        <w:bottom w:val="none" w:sz="0" w:space="0" w:color="auto"/>
        <w:right w:val="none" w:sz="0" w:space="0" w:color="auto"/>
      </w:divBdr>
    </w:div>
    <w:div w:id="1751657502">
      <w:bodyDiv w:val="1"/>
      <w:marLeft w:val="0"/>
      <w:marRight w:val="0"/>
      <w:marTop w:val="0"/>
      <w:marBottom w:val="0"/>
      <w:divBdr>
        <w:top w:val="none" w:sz="0" w:space="0" w:color="auto"/>
        <w:left w:val="none" w:sz="0" w:space="0" w:color="auto"/>
        <w:bottom w:val="none" w:sz="0" w:space="0" w:color="auto"/>
        <w:right w:val="none" w:sz="0" w:space="0" w:color="auto"/>
      </w:divBdr>
    </w:div>
    <w:div w:id="1786385203">
      <w:bodyDiv w:val="1"/>
      <w:marLeft w:val="0"/>
      <w:marRight w:val="0"/>
      <w:marTop w:val="0"/>
      <w:marBottom w:val="0"/>
      <w:divBdr>
        <w:top w:val="none" w:sz="0" w:space="0" w:color="auto"/>
        <w:left w:val="none" w:sz="0" w:space="0" w:color="auto"/>
        <w:bottom w:val="none" w:sz="0" w:space="0" w:color="auto"/>
        <w:right w:val="none" w:sz="0" w:space="0" w:color="auto"/>
      </w:divBdr>
    </w:div>
    <w:div w:id="1841118807">
      <w:bodyDiv w:val="1"/>
      <w:marLeft w:val="0"/>
      <w:marRight w:val="0"/>
      <w:marTop w:val="0"/>
      <w:marBottom w:val="0"/>
      <w:divBdr>
        <w:top w:val="none" w:sz="0" w:space="0" w:color="auto"/>
        <w:left w:val="none" w:sz="0" w:space="0" w:color="auto"/>
        <w:bottom w:val="none" w:sz="0" w:space="0" w:color="auto"/>
        <w:right w:val="none" w:sz="0" w:space="0" w:color="auto"/>
      </w:divBdr>
    </w:div>
    <w:div w:id="1849557373">
      <w:bodyDiv w:val="1"/>
      <w:marLeft w:val="0"/>
      <w:marRight w:val="0"/>
      <w:marTop w:val="0"/>
      <w:marBottom w:val="0"/>
      <w:divBdr>
        <w:top w:val="none" w:sz="0" w:space="0" w:color="auto"/>
        <w:left w:val="none" w:sz="0" w:space="0" w:color="auto"/>
        <w:bottom w:val="none" w:sz="0" w:space="0" w:color="auto"/>
        <w:right w:val="none" w:sz="0" w:space="0" w:color="auto"/>
      </w:divBdr>
    </w:div>
    <w:div w:id="1895043103">
      <w:bodyDiv w:val="1"/>
      <w:marLeft w:val="0"/>
      <w:marRight w:val="0"/>
      <w:marTop w:val="0"/>
      <w:marBottom w:val="0"/>
      <w:divBdr>
        <w:top w:val="none" w:sz="0" w:space="0" w:color="auto"/>
        <w:left w:val="none" w:sz="0" w:space="0" w:color="auto"/>
        <w:bottom w:val="none" w:sz="0" w:space="0" w:color="auto"/>
        <w:right w:val="none" w:sz="0" w:space="0" w:color="auto"/>
      </w:divBdr>
    </w:div>
    <w:div w:id="1991208750">
      <w:bodyDiv w:val="1"/>
      <w:marLeft w:val="0"/>
      <w:marRight w:val="0"/>
      <w:marTop w:val="0"/>
      <w:marBottom w:val="0"/>
      <w:divBdr>
        <w:top w:val="none" w:sz="0" w:space="0" w:color="auto"/>
        <w:left w:val="none" w:sz="0" w:space="0" w:color="auto"/>
        <w:bottom w:val="none" w:sz="0" w:space="0" w:color="auto"/>
        <w:right w:val="none" w:sz="0" w:space="0" w:color="auto"/>
      </w:divBdr>
    </w:div>
    <w:div w:id="1991443818">
      <w:bodyDiv w:val="1"/>
      <w:marLeft w:val="0"/>
      <w:marRight w:val="0"/>
      <w:marTop w:val="0"/>
      <w:marBottom w:val="0"/>
      <w:divBdr>
        <w:top w:val="none" w:sz="0" w:space="0" w:color="auto"/>
        <w:left w:val="none" w:sz="0" w:space="0" w:color="auto"/>
        <w:bottom w:val="none" w:sz="0" w:space="0" w:color="auto"/>
        <w:right w:val="none" w:sz="0" w:space="0" w:color="auto"/>
      </w:divBdr>
    </w:div>
    <w:div w:id="1991981539">
      <w:bodyDiv w:val="1"/>
      <w:marLeft w:val="0"/>
      <w:marRight w:val="0"/>
      <w:marTop w:val="0"/>
      <w:marBottom w:val="0"/>
      <w:divBdr>
        <w:top w:val="none" w:sz="0" w:space="0" w:color="auto"/>
        <w:left w:val="none" w:sz="0" w:space="0" w:color="auto"/>
        <w:bottom w:val="none" w:sz="0" w:space="0" w:color="auto"/>
        <w:right w:val="none" w:sz="0" w:space="0" w:color="auto"/>
      </w:divBdr>
    </w:div>
    <w:div w:id="2023697956">
      <w:bodyDiv w:val="1"/>
      <w:marLeft w:val="0"/>
      <w:marRight w:val="0"/>
      <w:marTop w:val="0"/>
      <w:marBottom w:val="0"/>
      <w:divBdr>
        <w:top w:val="none" w:sz="0" w:space="0" w:color="auto"/>
        <w:left w:val="none" w:sz="0" w:space="0" w:color="auto"/>
        <w:bottom w:val="none" w:sz="0" w:space="0" w:color="auto"/>
        <w:right w:val="none" w:sz="0" w:space="0" w:color="auto"/>
      </w:divBdr>
    </w:div>
    <w:div w:id="2028871308">
      <w:bodyDiv w:val="1"/>
      <w:marLeft w:val="0"/>
      <w:marRight w:val="0"/>
      <w:marTop w:val="0"/>
      <w:marBottom w:val="0"/>
      <w:divBdr>
        <w:top w:val="none" w:sz="0" w:space="0" w:color="auto"/>
        <w:left w:val="none" w:sz="0" w:space="0" w:color="auto"/>
        <w:bottom w:val="none" w:sz="0" w:space="0" w:color="auto"/>
        <w:right w:val="none" w:sz="0" w:space="0" w:color="auto"/>
      </w:divBdr>
    </w:div>
    <w:div w:id="2065714860">
      <w:bodyDiv w:val="1"/>
      <w:marLeft w:val="0"/>
      <w:marRight w:val="0"/>
      <w:marTop w:val="0"/>
      <w:marBottom w:val="0"/>
      <w:divBdr>
        <w:top w:val="none" w:sz="0" w:space="0" w:color="auto"/>
        <w:left w:val="none" w:sz="0" w:space="0" w:color="auto"/>
        <w:bottom w:val="none" w:sz="0" w:space="0" w:color="auto"/>
        <w:right w:val="none" w:sz="0" w:space="0" w:color="auto"/>
      </w:divBdr>
    </w:div>
    <w:div w:id="212592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ur-lex.europa.eu/legal-content/CS/TXT/?qid=1596028391915&amp;uri=CELEX:32011R0282"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stns080903.dot</Template>
  <TotalTime>0</TotalTime>
  <Pages>19</Pages>
  <Words>8533</Words>
  <Characters>50345</Characters>
  <Application>Microsoft Office Word</Application>
  <DocSecurity>0</DocSecurity>
  <Lines>419</Lines>
  <Paragraphs>117</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58761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Zenith Data Systems</dc:creator>
  <cp:lastModifiedBy>Stibůrková Jana Mgr.</cp:lastModifiedBy>
  <cp:revision>3</cp:revision>
  <cp:lastPrinted>2006-01-11T11:01:00Z</cp:lastPrinted>
  <dcterms:created xsi:type="dcterms:W3CDTF">2024-02-01T09:24:00Z</dcterms:created>
  <dcterms:modified xsi:type="dcterms:W3CDTF">2024-02-01T11:22:00Z</dcterms:modified>
</cp:coreProperties>
</file>